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ayoutGrid"/>
        <w:tblW w:w="0" w:type="auto"/>
        <w:tblLook w:val="04A0" w:firstRow="1" w:lastRow="0" w:firstColumn="1" w:lastColumn="0" w:noHBand="0" w:noVBand="1"/>
      </w:tblPr>
      <w:tblGrid>
        <w:gridCol w:w="5046"/>
        <w:gridCol w:w="5046"/>
      </w:tblGrid>
      <w:tr w:rsidR="007758B7" w14:paraId="2DEB707C" w14:textId="77777777" w:rsidTr="00C615E8">
        <w:trPr>
          <w:trHeight w:hRule="exact" w:val="3289"/>
        </w:trPr>
        <w:tc>
          <w:tcPr>
            <w:tcW w:w="5046" w:type="dxa"/>
          </w:tcPr>
          <w:p w14:paraId="169A825B" w14:textId="767495FF" w:rsidR="007758B7" w:rsidRDefault="007758B7" w:rsidP="007758B7">
            <w:pPr>
              <w:pStyle w:val="NoSpacing"/>
              <w:spacing w:before="100"/>
            </w:pPr>
          </w:p>
        </w:tc>
        <w:tc>
          <w:tcPr>
            <w:tcW w:w="5046" w:type="dxa"/>
          </w:tcPr>
          <w:p w14:paraId="40879EFF" w14:textId="2CA00177" w:rsidR="007758B7" w:rsidRDefault="007758B7" w:rsidP="007758B7">
            <w:pPr>
              <w:pStyle w:val="CoverDetails"/>
            </w:pPr>
          </w:p>
        </w:tc>
      </w:tr>
      <w:tr w:rsidR="007758B7" w14:paraId="0B318D6A" w14:textId="77777777" w:rsidTr="0004407F">
        <w:trPr>
          <w:trHeight w:val="1988"/>
        </w:trPr>
        <w:tc>
          <w:tcPr>
            <w:tcW w:w="10092" w:type="dxa"/>
            <w:gridSpan w:val="2"/>
          </w:tcPr>
          <w:p w14:paraId="3C470257" w14:textId="46E9FC7F" w:rsidR="007758B7" w:rsidRDefault="002F3A7C" w:rsidP="007758B7">
            <w:pPr>
              <w:pStyle w:val="CoverHeading"/>
            </w:pPr>
            <w:r>
              <w:t xml:space="preserve">Discussion </w:t>
            </w:r>
            <w:r w:rsidR="007758B7">
              <w:t>paper</w:t>
            </w:r>
          </w:p>
        </w:tc>
      </w:tr>
      <w:tr w:rsidR="007758B7" w14:paraId="569AC7C1" w14:textId="77777777" w:rsidTr="0004407F">
        <w:trPr>
          <w:trHeight w:val="1346"/>
        </w:trPr>
        <w:tc>
          <w:tcPr>
            <w:tcW w:w="10092" w:type="dxa"/>
            <w:gridSpan w:val="2"/>
          </w:tcPr>
          <w:p w14:paraId="7C40A22E" w14:textId="3F0975FB" w:rsidR="007758B7" w:rsidRDefault="007758B7" w:rsidP="007758B7">
            <w:pPr>
              <w:pStyle w:val="CoverSubheading"/>
            </w:pPr>
            <w:r>
              <w:t>Essentially Derived Varieties</w:t>
            </w:r>
          </w:p>
        </w:tc>
      </w:tr>
      <w:tr w:rsidR="007758B7" w14:paraId="6B54E391" w14:textId="77777777" w:rsidTr="00C615E8">
        <w:trPr>
          <w:trHeight w:hRule="exact" w:val="697"/>
        </w:trPr>
        <w:tc>
          <w:tcPr>
            <w:tcW w:w="10092" w:type="dxa"/>
            <w:gridSpan w:val="2"/>
          </w:tcPr>
          <w:p w14:paraId="0AEE197F" w14:textId="77777777" w:rsidR="007758B7" w:rsidRDefault="007758B7" w:rsidP="007758B7">
            <w:pPr>
              <w:pStyle w:val="NoSpacing"/>
            </w:pPr>
          </w:p>
        </w:tc>
      </w:tr>
    </w:tbl>
    <w:p w14:paraId="32AB27FD" w14:textId="05CBE81F" w:rsidR="00DE7BB5" w:rsidRPr="00B911F3" w:rsidRDefault="005E5FEB" w:rsidP="00B911F3">
      <w:pPr>
        <w:pStyle w:val="NoSpacing"/>
      </w:pPr>
      <w:r>
        <w:rPr>
          <w:noProof/>
        </w:rPr>
        <w:drawing>
          <wp:anchor distT="0" distB="0" distL="114300" distR="114300" simplePos="0" relativeHeight="251658240" behindDoc="0" locked="0" layoutInCell="1" allowOverlap="1" wp14:anchorId="51C6B412" wp14:editId="5CEFECEA">
            <wp:simplePos x="0" y="0"/>
            <wp:positionH relativeFrom="page">
              <wp:posOffset>-268713</wp:posOffset>
            </wp:positionH>
            <wp:positionV relativeFrom="paragraph">
              <wp:posOffset>152161</wp:posOffset>
            </wp:positionV>
            <wp:extent cx="7990606" cy="5327070"/>
            <wp:effectExtent l="0" t="0" r="0" b="6985"/>
            <wp:wrapNone/>
            <wp:docPr id="28227054" name="Picture 28227054" descr="Women standing in tilled soil, holding trays of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7054" name="Picture 28227054" descr="Women standing in tilled soil, holding trays of plants"/>
                    <pic:cNvPicPr/>
                  </pic:nvPicPr>
                  <pic:blipFill>
                    <a:blip r:embed="rId12"/>
                    <a:stretch>
                      <a:fillRect/>
                    </a:stretch>
                  </pic:blipFill>
                  <pic:spPr>
                    <a:xfrm>
                      <a:off x="0" y="0"/>
                      <a:ext cx="7990606" cy="5327070"/>
                    </a:xfrm>
                    <a:prstGeom prst="rect">
                      <a:avLst/>
                    </a:prstGeom>
                  </pic:spPr>
                </pic:pic>
              </a:graphicData>
            </a:graphic>
            <wp14:sizeRelH relativeFrom="margin">
              <wp14:pctWidth>0</wp14:pctWidth>
            </wp14:sizeRelH>
            <wp14:sizeRelV relativeFrom="margin">
              <wp14:pctHeight>0</wp14:pctHeight>
            </wp14:sizeRelV>
          </wp:anchor>
        </w:drawing>
      </w:r>
    </w:p>
    <w:p w14:paraId="6B29E78E" w14:textId="1014B762" w:rsidR="00DE7BB5" w:rsidRDefault="00DE7BB5" w:rsidP="00971ECD"/>
    <w:p w14:paraId="41A519D6" w14:textId="77777777" w:rsidR="00521365" w:rsidRDefault="00521365" w:rsidP="00971ECD"/>
    <w:p w14:paraId="75DD0C44" w14:textId="77777777" w:rsidR="00521365" w:rsidRDefault="00521365">
      <w:pPr>
        <w:adjustRightInd/>
        <w:snapToGrid/>
        <w:spacing w:after="0" w:line="240" w:lineRule="atLeast"/>
      </w:pPr>
      <w:r>
        <w:br w:type="page"/>
      </w:r>
    </w:p>
    <w:p w14:paraId="3C2C91A0" w14:textId="77777777" w:rsidR="00A161E0" w:rsidRDefault="00A161E0" w:rsidP="00F81004">
      <w:pPr>
        <w:pStyle w:val="CoverSubheading"/>
        <w:jc w:val="center"/>
        <w:rPr>
          <w:rStyle w:val="normaltextrun"/>
          <w:rFonts w:eastAsia="Calibri"/>
          <w:b/>
          <w:color w:val="000000"/>
          <w:shd w:val="clear" w:color="auto" w:fill="FFFFFF"/>
        </w:rPr>
      </w:pPr>
    </w:p>
    <w:p w14:paraId="14DB89F5" w14:textId="77777777" w:rsidR="00EE1E34" w:rsidRDefault="00EE1E34" w:rsidP="00F81004">
      <w:pPr>
        <w:pStyle w:val="CoverSubheading"/>
        <w:jc w:val="center"/>
        <w:rPr>
          <w:rStyle w:val="normaltextrun"/>
          <w:b/>
          <w:bCs/>
          <w:color w:val="000000"/>
          <w:shd w:val="clear" w:color="auto" w:fill="FFFFFF"/>
        </w:rPr>
      </w:pPr>
    </w:p>
    <w:p w14:paraId="454845E2" w14:textId="77777777" w:rsidR="0083799B" w:rsidRDefault="0083799B" w:rsidP="00F81004">
      <w:pPr>
        <w:pStyle w:val="CoverSubheading"/>
        <w:jc w:val="center"/>
        <w:rPr>
          <w:rStyle w:val="normaltextrun"/>
          <w:b/>
          <w:bCs/>
          <w:color w:val="000000"/>
          <w:shd w:val="clear" w:color="auto" w:fill="FFFFFF"/>
        </w:rPr>
      </w:pPr>
    </w:p>
    <w:p w14:paraId="00ADCCB1" w14:textId="77777777" w:rsidR="0083799B" w:rsidRDefault="0083799B" w:rsidP="00F81004">
      <w:pPr>
        <w:pStyle w:val="CoverSubheading"/>
        <w:jc w:val="center"/>
        <w:rPr>
          <w:rStyle w:val="normaltextrun"/>
          <w:b/>
          <w:bCs/>
          <w:color w:val="000000"/>
          <w:shd w:val="clear" w:color="auto" w:fill="FFFFFF"/>
        </w:rPr>
      </w:pPr>
    </w:p>
    <w:p w14:paraId="269250C2" w14:textId="77777777" w:rsidR="0083799B" w:rsidRDefault="0083799B" w:rsidP="00F81004">
      <w:pPr>
        <w:pStyle w:val="CoverSubheading"/>
        <w:jc w:val="center"/>
        <w:rPr>
          <w:rStyle w:val="normaltextrun"/>
          <w:b/>
          <w:bCs/>
          <w:color w:val="000000"/>
          <w:shd w:val="clear" w:color="auto" w:fill="FFFFFF"/>
        </w:rPr>
      </w:pPr>
    </w:p>
    <w:p w14:paraId="5630EDA1" w14:textId="77777777" w:rsidR="00F81004" w:rsidRPr="007F4CC7" w:rsidRDefault="00F81004" w:rsidP="00F81004">
      <w:pPr>
        <w:pStyle w:val="CoverSubheading"/>
        <w:jc w:val="center"/>
        <w:rPr>
          <w:rStyle w:val="normaltextrun"/>
          <w:b/>
          <w:bCs/>
          <w:color w:val="000000"/>
          <w:shd w:val="clear" w:color="auto" w:fill="FFFFFF"/>
        </w:rPr>
      </w:pPr>
      <w:r w:rsidRPr="007F4CC7">
        <w:rPr>
          <w:rStyle w:val="normaltextrun"/>
          <w:b/>
          <w:bCs/>
          <w:color w:val="000000"/>
          <w:shd w:val="clear" w:color="auto" w:fill="FFFFFF"/>
        </w:rPr>
        <w:t>Acknowledgement of Country</w:t>
      </w:r>
    </w:p>
    <w:p w14:paraId="2E1925F3" w14:textId="77777777" w:rsidR="00F81004" w:rsidRDefault="00F81004" w:rsidP="00F81004">
      <w:pPr>
        <w:spacing w:line="360" w:lineRule="auto"/>
        <w:jc w:val="center"/>
        <w:rPr>
          <w:rStyle w:val="normaltextrun"/>
          <w:i/>
          <w:iCs/>
          <w:color w:val="000000"/>
          <w:sz w:val="28"/>
          <w:szCs w:val="22"/>
          <w:shd w:val="clear" w:color="auto" w:fill="FFFFFF"/>
        </w:rPr>
      </w:pPr>
    </w:p>
    <w:p w14:paraId="15D19F04" w14:textId="77777777" w:rsidR="005D02D5" w:rsidRDefault="005B4174" w:rsidP="0083799B">
      <w:pPr>
        <w:spacing w:line="360" w:lineRule="auto"/>
        <w:jc w:val="center"/>
        <w:rPr>
          <w:rFonts w:eastAsia="Calibri"/>
        </w:rPr>
      </w:pPr>
      <w:r w:rsidRPr="0030460C">
        <w:rPr>
          <w:rStyle w:val="normaltextrun"/>
          <w:rFonts w:eastAsia="Calibri"/>
          <w:i/>
          <w:color w:val="000000"/>
          <w:sz w:val="28"/>
          <w:szCs w:val="22"/>
          <w:shd w:val="clear" w:color="auto" w:fill="FFFFFF"/>
        </w:rPr>
        <w:t xml:space="preserve">IP Australia acknowledges </w:t>
      </w:r>
      <w:r w:rsidR="00F81004" w:rsidRPr="0030460C">
        <w:rPr>
          <w:rStyle w:val="normaltextrun"/>
          <w:i/>
          <w:iCs/>
          <w:color w:val="000000"/>
          <w:sz w:val="28"/>
          <w:szCs w:val="22"/>
          <w:shd w:val="clear" w:color="auto" w:fill="FFFFFF"/>
        </w:rPr>
        <w:t xml:space="preserve">the rich contributions to innovation that </w:t>
      </w:r>
      <w:r w:rsidRPr="0030460C">
        <w:rPr>
          <w:rStyle w:val="normaltextrun"/>
          <w:rFonts w:eastAsia="Calibri"/>
          <w:i/>
          <w:color w:val="000000"/>
          <w:sz w:val="28"/>
          <w:szCs w:val="22"/>
          <w:shd w:val="clear" w:color="auto" w:fill="FFFFFF"/>
        </w:rPr>
        <w:t xml:space="preserve">Aboriginal and Torres Strait Islander peoples </w:t>
      </w:r>
      <w:r w:rsidR="00F81004" w:rsidRPr="0030460C">
        <w:rPr>
          <w:rStyle w:val="normaltextrun"/>
          <w:i/>
          <w:iCs/>
          <w:color w:val="000000"/>
          <w:sz w:val="28"/>
          <w:szCs w:val="22"/>
          <w:shd w:val="clear" w:color="auto" w:fill="FFFFFF"/>
        </w:rPr>
        <w:t xml:space="preserve">have made through 60,000 plus years of continuing lore and history. We pay our respects to </w:t>
      </w:r>
      <w:r w:rsidRPr="0030460C">
        <w:rPr>
          <w:rStyle w:val="normaltextrun"/>
          <w:rFonts w:eastAsia="Calibri"/>
          <w:i/>
          <w:color w:val="000000"/>
          <w:sz w:val="28"/>
          <w:szCs w:val="22"/>
          <w:shd w:val="clear" w:color="auto" w:fill="FFFFFF"/>
        </w:rPr>
        <w:t>the Traditional Custodians of the lands on which our agency is located and where we conduct our business.</w:t>
      </w:r>
      <w:r w:rsidR="005D02D5">
        <w:rPr>
          <w:rFonts w:eastAsia="Calibri"/>
        </w:rPr>
        <w:br w:type="page"/>
      </w:r>
    </w:p>
    <w:p w14:paraId="2BF78F41" w14:textId="583B5D08" w:rsidR="00554C04" w:rsidRDefault="00296F2F" w:rsidP="007D1254">
      <w:pPr>
        <w:pStyle w:val="SectionHeading"/>
        <w:spacing w:after="0"/>
      </w:pPr>
      <w:bookmarkStart w:id="0" w:name="_Toc106117775"/>
      <w:bookmarkStart w:id="1" w:name="_Toc210736637"/>
      <w:r>
        <w:lastRenderedPageBreak/>
        <w:t xml:space="preserve">Privacy </w:t>
      </w:r>
      <w:r w:rsidR="001A3E11">
        <w:t xml:space="preserve">Collection </w:t>
      </w:r>
      <w:r>
        <w:t>Notice</w:t>
      </w:r>
      <w:bookmarkEnd w:id="0"/>
      <w:bookmarkEnd w:id="1"/>
    </w:p>
    <w:p w14:paraId="75245BEB" w14:textId="3A5B43FA" w:rsidR="001A3E11" w:rsidRPr="001A3E11" w:rsidRDefault="001A3E11" w:rsidP="001A3E11">
      <w:pPr>
        <w:rPr>
          <w:i/>
          <w:iCs/>
          <w:sz w:val="21"/>
          <w:szCs w:val="21"/>
        </w:rPr>
      </w:pPr>
      <w:bookmarkStart w:id="2" w:name="_Toc106117776"/>
      <w:r w:rsidRPr="001A3E11">
        <w:rPr>
          <w:i/>
          <w:iCs/>
          <w:sz w:val="21"/>
          <w:szCs w:val="21"/>
        </w:rPr>
        <w:t xml:space="preserve">This Privacy Collection Notice describes how IP Australia collects and manages personal information in relation to the public consultation on </w:t>
      </w:r>
      <w:r>
        <w:rPr>
          <w:i/>
          <w:iCs/>
          <w:sz w:val="21"/>
          <w:szCs w:val="21"/>
        </w:rPr>
        <w:t xml:space="preserve">essentially derived varieties. </w:t>
      </w:r>
    </w:p>
    <w:p w14:paraId="0EE73B56" w14:textId="77777777" w:rsidR="001A3E11" w:rsidRPr="001A3E11" w:rsidRDefault="001A3E11" w:rsidP="001A3E11">
      <w:pPr>
        <w:rPr>
          <w:i/>
          <w:iCs/>
          <w:sz w:val="21"/>
          <w:szCs w:val="21"/>
        </w:rPr>
      </w:pPr>
      <w:r w:rsidRPr="001A3E11">
        <w:rPr>
          <w:i/>
          <w:iCs/>
          <w:sz w:val="21"/>
          <w:szCs w:val="21"/>
        </w:rPr>
        <w:t xml:space="preserve">By making a submission to this consultation, you consent to your personal information being handled in accordance with this Privacy Collection Notice and IP Australia’s </w:t>
      </w:r>
      <w:hyperlink r:id="rId13" w:history="1">
        <w:r w:rsidRPr="001A3E11">
          <w:rPr>
            <w:rStyle w:val="Hyperlink"/>
            <w:i/>
            <w:iCs/>
            <w:sz w:val="21"/>
            <w:szCs w:val="21"/>
          </w:rPr>
          <w:t>Privacy Policy</w:t>
        </w:r>
      </w:hyperlink>
      <w:r w:rsidRPr="001A3E11">
        <w:rPr>
          <w:i/>
          <w:iCs/>
          <w:sz w:val="21"/>
          <w:szCs w:val="21"/>
        </w:rPr>
        <w:t xml:space="preserve">. </w:t>
      </w:r>
    </w:p>
    <w:p w14:paraId="57DC1A8C" w14:textId="77777777" w:rsidR="001A3E11" w:rsidRPr="001A3E11" w:rsidRDefault="001A3E11" w:rsidP="001A3E11">
      <w:pPr>
        <w:rPr>
          <w:i/>
          <w:iCs/>
          <w:sz w:val="21"/>
          <w:szCs w:val="21"/>
          <w:lang w:val="en"/>
        </w:rPr>
      </w:pPr>
      <w:r w:rsidRPr="001A3E11">
        <w:rPr>
          <w:i/>
          <w:iCs/>
          <w:sz w:val="21"/>
          <w:szCs w:val="21"/>
        </w:rPr>
        <w:t xml:space="preserve">When providing any third-party personal information in a submission, please ensure you have obtained their consent to their </w:t>
      </w:r>
      <w:r w:rsidRPr="001A3E11">
        <w:rPr>
          <w:i/>
          <w:iCs/>
          <w:sz w:val="21"/>
          <w:szCs w:val="21"/>
          <w:lang w:val="en"/>
        </w:rPr>
        <w:t>personal information being provided.</w:t>
      </w:r>
    </w:p>
    <w:p w14:paraId="31F35190" w14:textId="0EBA5169" w:rsidR="001A3E11" w:rsidRPr="001A3E11" w:rsidRDefault="001A3E11" w:rsidP="001A3E11">
      <w:pPr>
        <w:rPr>
          <w:i/>
          <w:iCs/>
          <w:sz w:val="21"/>
          <w:szCs w:val="21"/>
        </w:rPr>
      </w:pPr>
      <w:r w:rsidRPr="001A3E11">
        <w:rPr>
          <w:i/>
          <w:iCs/>
          <w:sz w:val="21"/>
          <w:szCs w:val="21"/>
        </w:rPr>
        <w:t xml:space="preserve">Your views will be considered but there is no guarantee that they will determine government policy. </w:t>
      </w:r>
    </w:p>
    <w:p w14:paraId="5E8CDFF2" w14:textId="77777777" w:rsidR="001A3E11" w:rsidRPr="001A3E11" w:rsidRDefault="001A3E11" w:rsidP="001A3E11">
      <w:pPr>
        <w:rPr>
          <w:b/>
          <w:bCs/>
          <w:i/>
          <w:iCs/>
          <w:sz w:val="21"/>
          <w:szCs w:val="21"/>
        </w:rPr>
      </w:pPr>
      <w:r w:rsidRPr="001A3E11">
        <w:rPr>
          <w:b/>
          <w:bCs/>
          <w:i/>
          <w:iCs/>
          <w:sz w:val="21"/>
          <w:szCs w:val="21"/>
        </w:rPr>
        <w:t>Your privacy rights</w:t>
      </w:r>
    </w:p>
    <w:p w14:paraId="5D783090" w14:textId="77777777" w:rsidR="001A3E11" w:rsidRPr="001A3E11" w:rsidRDefault="001A3E11" w:rsidP="001A3E11">
      <w:pPr>
        <w:rPr>
          <w:i/>
          <w:iCs/>
          <w:sz w:val="21"/>
          <w:szCs w:val="21"/>
        </w:rPr>
      </w:pPr>
      <w:r w:rsidRPr="001A3E11">
        <w:rPr>
          <w:i/>
          <w:iCs/>
          <w:sz w:val="21"/>
          <w:szCs w:val="21"/>
        </w:rPr>
        <w:t>Any personal or sensitive information that you provide in connection with your submission to this consultation is protected by law, including the Privacy Act 1988 (</w:t>
      </w:r>
      <w:proofErr w:type="spellStart"/>
      <w:r w:rsidRPr="001A3E11">
        <w:rPr>
          <w:i/>
          <w:iCs/>
          <w:sz w:val="21"/>
          <w:szCs w:val="21"/>
        </w:rPr>
        <w:t>Cth</w:t>
      </w:r>
      <w:proofErr w:type="spellEnd"/>
      <w:r w:rsidRPr="001A3E11">
        <w:rPr>
          <w:i/>
          <w:iCs/>
          <w:sz w:val="21"/>
          <w:szCs w:val="21"/>
        </w:rPr>
        <w:t>) (</w:t>
      </w:r>
      <w:r w:rsidRPr="001A3E11">
        <w:rPr>
          <w:b/>
          <w:bCs/>
          <w:i/>
          <w:iCs/>
          <w:sz w:val="21"/>
          <w:szCs w:val="21"/>
        </w:rPr>
        <w:t>Privacy Act</w:t>
      </w:r>
      <w:r w:rsidRPr="001A3E11">
        <w:rPr>
          <w:i/>
          <w:iCs/>
          <w:sz w:val="21"/>
          <w:szCs w:val="21"/>
        </w:rPr>
        <w:t>) and the Australian Privacy Principles, which regulate how entities including IP Australia may collect, use, disclose and store personal information.</w:t>
      </w:r>
    </w:p>
    <w:p w14:paraId="66EBE27F" w14:textId="1CD1DBCC" w:rsidR="001A3E11" w:rsidRPr="001A3E11" w:rsidRDefault="001A3E11" w:rsidP="001A3E11">
      <w:pPr>
        <w:rPr>
          <w:i/>
          <w:iCs/>
          <w:sz w:val="21"/>
          <w:szCs w:val="21"/>
        </w:rPr>
      </w:pPr>
      <w:r w:rsidRPr="001A3E11">
        <w:rPr>
          <w:i/>
          <w:iCs/>
          <w:sz w:val="21"/>
          <w:szCs w:val="21"/>
        </w:rPr>
        <w:t>IP Australia will only collect your personal information where it is reasonably necessary for, or directly related to, the performance of our functions or activities, and the purposes set out below.</w:t>
      </w:r>
    </w:p>
    <w:p w14:paraId="025D0858" w14:textId="77777777" w:rsidR="001A3E11" w:rsidRPr="001A3E11" w:rsidRDefault="001A3E11" w:rsidP="001A3E11">
      <w:pPr>
        <w:rPr>
          <w:i/>
          <w:iCs/>
          <w:sz w:val="21"/>
          <w:szCs w:val="21"/>
        </w:rPr>
      </w:pPr>
      <w:r w:rsidRPr="001A3E11">
        <w:rPr>
          <w:b/>
          <w:bCs/>
          <w:i/>
          <w:iCs/>
          <w:sz w:val="21"/>
          <w:szCs w:val="21"/>
        </w:rPr>
        <w:t>What personal information do we collect?</w:t>
      </w:r>
    </w:p>
    <w:p w14:paraId="4615C227" w14:textId="39E9F2DB" w:rsidR="001A3E11" w:rsidRPr="001A3E11" w:rsidRDefault="001A3E11" w:rsidP="001A3E11">
      <w:pPr>
        <w:rPr>
          <w:i/>
          <w:iCs/>
          <w:sz w:val="21"/>
          <w:szCs w:val="21"/>
        </w:rPr>
      </w:pPr>
      <w:r w:rsidRPr="001A3E11">
        <w:rPr>
          <w:i/>
          <w:iCs/>
          <w:sz w:val="21"/>
          <w:szCs w:val="21"/>
        </w:rPr>
        <w:t xml:space="preserve">We collect your personal information when you provide your submissions. The personal information we collect may include your name, contact details, or organisation of which you are a representative. We will also collect any personal information which you choose to provide as part of your submission. </w:t>
      </w:r>
    </w:p>
    <w:p w14:paraId="4BC63620" w14:textId="77777777" w:rsidR="001A3E11" w:rsidRPr="001A3E11" w:rsidRDefault="001A3E11" w:rsidP="001A3E11">
      <w:pPr>
        <w:rPr>
          <w:b/>
          <w:bCs/>
          <w:i/>
          <w:iCs/>
          <w:sz w:val="21"/>
          <w:szCs w:val="21"/>
        </w:rPr>
      </w:pPr>
      <w:r w:rsidRPr="001A3E11">
        <w:rPr>
          <w:b/>
          <w:bCs/>
          <w:i/>
          <w:iCs/>
          <w:sz w:val="21"/>
          <w:szCs w:val="21"/>
        </w:rPr>
        <w:t>Why do we collect your personal information?</w:t>
      </w:r>
    </w:p>
    <w:p w14:paraId="0E173FF2" w14:textId="77777777" w:rsidR="001A3E11" w:rsidRPr="001A3E11" w:rsidRDefault="001A3E11" w:rsidP="001A3E11">
      <w:pPr>
        <w:rPr>
          <w:i/>
          <w:iCs/>
          <w:sz w:val="21"/>
          <w:szCs w:val="21"/>
        </w:rPr>
      </w:pPr>
      <w:r w:rsidRPr="001A3E11">
        <w:rPr>
          <w:i/>
          <w:iCs/>
          <w:sz w:val="21"/>
          <w:szCs w:val="21"/>
        </w:rPr>
        <w:t xml:space="preserve">IP Australia will collect your submission, which may include personal information, for the purposes of: </w:t>
      </w:r>
    </w:p>
    <w:p w14:paraId="2CFCE3FB" w14:textId="77777777" w:rsidR="001A3E11" w:rsidRPr="007E3026" w:rsidRDefault="001A3E11" w:rsidP="003A15C6">
      <w:pPr>
        <w:pStyle w:val="ListParagraph"/>
        <w:numPr>
          <w:ilvl w:val="0"/>
          <w:numId w:val="31"/>
        </w:numPr>
        <w:rPr>
          <w:i/>
          <w:sz w:val="21"/>
          <w:szCs w:val="21"/>
        </w:rPr>
      </w:pPr>
      <w:r w:rsidRPr="007E3026">
        <w:rPr>
          <w:i/>
          <w:sz w:val="21"/>
          <w:szCs w:val="21"/>
        </w:rPr>
        <w:t>reviewing and considering submissions received in response to this public consultation;</w:t>
      </w:r>
    </w:p>
    <w:p w14:paraId="7CC2EF71" w14:textId="77777777" w:rsidR="001A3E11" w:rsidRPr="007E3026" w:rsidRDefault="001A3E11" w:rsidP="003A15C6">
      <w:pPr>
        <w:pStyle w:val="ListParagraph"/>
        <w:numPr>
          <w:ilvl w:val="0"/>
          <w:numId w:val="31"/>
        </w:numPr>
        <w:rPr>
          <w:i/>
          <w:sz w:val="21"/>
          <w:szCs w:val="21"/>
        </w:rPr>
      </w:pPr>
      <w:r w:rsidRPr="007E3026">
        <w:rPr>
          <w:i/>
          <w:sz w:val="21"/>
          <w:szCs w:val="21"/>
        </w:rPr>
        <w:t xml:space="preserve">gaining stakeholder insights and comments on possible amendments to the intellectual property rights legislation or any related IP policy issue set out in the consultation papers; </w:t>
      </w:r>
    </w:p>
    <w:p w14:paraId="5D68CB65" w14:textId="77777777" w:rsidR="001A3E11" w:rsidRPr="007E3026" w:rsidRDefault="001A3E11" w:rsidP="003A15C6">
      <w:pPr>
        <w:pStyle w:val="ListParagraph"/>
        <w:numPr>
          <w:ilvl w:val="0"/>
          <w:numId w:val="31"/>
        </w:numPr>
        <w:rPr>
          <w:i/>
          <w:sz w:val="21"/>
          <w:szCs w:val="21"/>
        </w:rPr>
      </w:pPr>
      <w:r w:rsidRPr="007E3026">
        <w:rPr>
          <w:i/>
          <w:sz w:val="21"/>
          <w:szCs w:val="21"/>
        </w:rPr>
        <w:t>contacting you to discuss your submission, informing you about the outcomes of the consultation and informing you of further progress and consultation on these legislative proposals that we think may be of interest to you; and</w:t>
      </w:r>
    </w:p>
    <w:p w14:paraId="184FB996" w14:textId="77777777" w:rsidR="001A3E11" w:rsidRPr="007E3026" w:rsidRDefault="001A3E11" w:rsidP="003A15C6">
      <w:pPr>
        <w:pStyle w:val="ListParagraph"/>
        <w:numPr>
          <w:ilvl w:val="0"/>
          <w:numId w:val="31"/>
        </w:numPr>
        <w:rPr>
          <w:i/>
          <w:sz w:val="21"/>
          <w:szCs w:val="21"/>
        </w:rPr>
      </w:pPr>
      <w:r w:rsidRPr="007E3026">
        <w:rPr>
          <w:i/>
          <w:sz w:val="21"/>
          <w:szCs w:val="21"/>
        </w:rPr>
        <w:t xml:space="preserve">publishing your submission on IP Australia’s website. </w:t>
      </w:r>
    </w:p>
    <w:p w14:paraId="458F6571" w14:textId="77777777" w:rsidR="001A3E11" w:rsidRPr="001A3E11" w:rsidRDefault="001A3E11" w:rsidP="001A3E11">
      <w:pPr>
        <w:rPr>
          <w:i/>
          <w:iCs/>
          <w:sz w:val="21"/>
          <w:szCs w:val="21"/>
        </w:rPr>
      </w:pPr>
      <w:r w:rsidRPr="001A3E11">
        <w:rPr>
          <w:b/>
          <w:bCs/>
          <w:i/>
          <w:iCs/>
          <w:sz w:val="21"/>
          <w:szCs w:val="21"/>
        </w:rPr>
        <w:t>How do we use and disclose your personal information?</w:t>
      </w:r>
    </w:p>
    <w:p w14:paraId="29337180" w14:textId="77777777" w:rsidR="001A3E11" w:rsidRPr="001A3E11" w:rsidRDefault="001A3E11" w:rsidP="001A3E11">
      <w:pPr>
        <w:rPr>
          <w:i/>
          <w:iCs/>
          <w:sz w:val="21"/>
          <w:szCs w:val="21"/>
        </w:rPr>
      </w:pPr>
      <w:r w:rsidRPr="001A3E11">
        <w:rPr>
          <w:i/>
          <w:iCs/>
          <w:sz w:val="21"/>
          <w:szCs w:val="21"/>
        </w:rPr>
        <w:t xml:space="preserve">IP Australia will use and disclose your personal information for the purposes set out above. </w:t>
      </w:r>
    </w:p>
    <w:p w14:paraId="3595FFFC" w14:textId="77777777" w:rsidR="001A3E11" w:rsidRPr="001A3E11" w:rsidRDefault="001A3E11" w:rsidP="001A3E11">
      <w:pPr>
        <w:rPr>
          <w:i/>
          <w:iCs/>
          <w:sz w:val="21"/>
          <w:szCs w:val="21"/>
        </w:rPr>
      </w:pPr>
      <w:r w:rsidRPr="001A3E11">
        <w:rPr>
          <w:i/>
          <w:iCs/>
          <w:sz w:val="21"/>
          <w:szCs w:val="21"/>
        </w:rPr>
        <w:t xml:space="preserve">IP Australia intends to publish your submission, including any personal information provided within it, on its website. Information published online may be accessed worldwide, including by overseas entities. Once the information is published online, IP Australia has no control over its subsequent use and disclosure. If you do not consent to this publication, you must either not make a </w:t>
      </w:r>
      <w:proofErr w:type="gramStart"/>
      <w:r w:rsidRPr="001A3E11">
        <w:rPr>
          <w:i/>
          <w:iCs/>
          <w:sz w:val="21"/>
          <w:szCs w:val="21"/>
        </w:rPr>
        <w:t>submission, or</w:t>
      </w:r>
      <w:proofErr w:type="gramEnd"/>
      <w:r w:rsidRPr="001A3E11">
        <w:rPr>
          <w:i/>
          <w:iCs/>
          <w:sz w:val="21"/>
          <w:szCs w:val="21"/>
        </w:rPr>
        <w:t xml:space="preserve"> must not include any personal information in your submission. If you do make a submission that contains personal information, you are consenting to the disclosure of that information overseas and acknowledge that Australian Privacy Principle (APP) 8 will not apply to the disclosure. This means that if any overseas recipient handles your personal information in breach of the APPs, IP Australia will not be accountable under the Privacy </w:t>
      </w:r>
      <w:proofErr w:type="gramStart"/>
      <w:r w:rsidRPr="001A3E11">
        <w:rPr>
          <w:i/>
          <w:iCs/>
          <w:sz w:val="21"/>
          <w:szCs w:val="21"/>
        </w:rPr>
        <w:t>Act</w:t>
      </w:r>
      <w:proofErr w:type="gramEnd"/>
      <w:r w:rsidRPr="001A3E11">
        <w:rPr>
          <w:i/>
          <w:iCs/>
          <w:sz w:val="21"/>
          <w:szCs w:val="21"/>
        </w:rPr>
        <w:t xml:space="preserve"> and you will not be able to seek redress under the Act.</w:t>
      </w:r>
    </w:p>
    <w:p w14:paraId="568A4122" w14:textId="77777777" w:rsidR="001A3E11" w:rsidRPr="001A3E11" w:rsidRDefault="001A3E11" w:rsidP="001A3E11">
      <w:pPr>
        <w:rPr>
          <w:i/>
          <w:iCs/>
          <w:sz w:val="21"/>
          <w:szCs w:val="21"/>
        </w:rPr>
      </w:pPr>
      <w:r w:rsidRPr="001A3E11">
        <w:rPr>
          <w:i/>
          <w:iCs/>
          <w:sz w:val="21"/>
          <w:szCs w:val="21"/>
        </w:rPr>
        <w:lastRenderedPageBreak/>
        <w:t>Your name – if supplied – will be used to attribute authorship of your submission unless you indicate you wish to remain anonymous, in which case your name will not be published or disclosed. If you consider that your submission is confidential and should not be published on our website, please clearly indicate this in your response.</w:t>
      </w:r>
    </w:p>
    <w:p w14:paraId="10F1A659" w14:textId="77777777" w:rsidR="001A3E11" w:rsidRPr="001A3E11" w:rsidRDefault="001A3E11" w:rsidP="001A3E11">
      <w:pPr>
        <w:rPr>
          <w:i/>
          <w:iCs/>
          <w:sz w:val="21"/>
          <w:szCs w:val="21"/>
        </w:rPr>
      </w:pPr>
      <w:r w:rsidRPr="001A3E11">
        <w:rPr>
          <w:i/>
          <w:iCs/>
          <w:sz w:val="21"/>
          <w:szCs w:val="21"/>
        </w:rPr>
        <w:t xml:space="preserve">In any event, IP Australia retains sole discretion to not publish a submission that is not confidential or has a non-confidential part. This includes removing any content from the submission or part before publishing it on IP Australia’s website. Such removed content could include unlawful, defamatory or offensive content. </w:t>
      </w:r>
    </w:p>
    <w:p w14:paraId="21875483" w14:textId="77777777" w:rsidR="001A3E11" w:rsidRPr="001A3E11" w:rsidRDefault="001A3E11" w:rsidP="001A3E11">
      <w:pPr>
        <w:rPr>
          <w:i/>
          <w:iCs/>
          <w:sz w:val="21"/>
          <w:szCs w:val="21"/>
        </w:rPr>
      </w:pPr>
      <w:r w:rsidRPr="001A3E11">
        <w:rPr>
          <w:i/>
          <w:iCs/>
          <w:sz w:val="21"/>
          <w:szCs w:val="21"/>
        </w:rPr>
        <w:t>Your submission, including any personal information you provide, may be disclosed:</w:t>
      </w:r>
    </w:p>
    <w:p w14:paraId="5FC1F78F" w14:textId="77777777" w:rsidR="001A3E11" w:rsidRPr="001A3E11" w:rsidRDefault="001A3E11" w:rsidP="00896FEC">
      <w:pPr>
        <w:numPr>
          <w:ilvl w:val="0"/>
          <w:numId w:val="28"/>
        </w:numPr>
        <w:rPr>
          <w:i/>
          <w:iCs/>
          <w:sz w:val="21"/>
          <w:szCs w:val="21"/>
        </w:rPr>
      </w:pPr>
      <w:r w:rsidRPr="001A3E11">
        <w:rPr>
          <w:i/>
          <w:iCs/>
          <w:sz w:val="21"/>
          <w:szCs w:val="21"/>
        </w:rPr>
        <w:t xml:space="preserve">to relevant Australian Ministers </w:t>
      </w:r>
      <w:r w:rsidRPr="001A3E11">
        <w:rPr>
          <w:i/>
          <w:iCs/>
          <w:sz w:val="21"/>
          <w:szCs w:val="21"/>
          <w:lang w:val="en-US"/>
        </w:rPr>
        <w:t>with responsibility for intellectual property rights legislation and their offices</w:t>
      </w:r>
    </w:p>
    <w:p w14:paraId="2F431E37" w14:textId="77777777" w:rsidR="001A3E11" w:rsidRPr="001A3E11" w:rsidRDefault="001A3E11" w:rsidP="00896FEC">
      <w:pPr>
        <w:numPr>
          <w:ilvl w:val="0"/>
          <w:numId w:val="28"/>
        </w:numPr>
        <w:rPr>
          <w:i/>
          <w:iCs/>
          <w:sz w:val="21"/>
          <w:szCs w:val="21"/>
        </w:rPr>
      </w:pPr>
      <w:r w:rsidRPr="001A3E11">
        <w:rPr>
          <w:i/>
          <w:iCs/>
          <w:sz w:val="21"/>
          <w:szCs w:val="21"/>
        </w:rPr>
        <w:t xml:space="preserve">to the Department of Industry, Science and Resources and other Commonwealth government agencies </w:t>
      </w:r>
    </w:p>
    <w:p w14:paraId="3CEAE1B9" w14:textId="77777777" w:rsidR="001A3E11" w:rsidRPr="001A3E11" w:rsidRDefault="001A3E11" w:rsidP="00896FEC">
      <w:pPr>
        <w:numPr>
          <w:ilvl w:val="0"/>
          <w:numId w:val="28"/>
        </w:numPr>
        <w:rPr>
          <w:i/>
          <w:iCs/>
          <w:sz w:val="21"/>
          <w:szCs w:val="21"/>
        </w:rPr>
      </w:pPr>
      <w:r w:rsidRPr="001A3E11">
        <w:rPr>
          <w:i/>
          <w:iCs/>
          <w:sz w:val="21"/>
          <w:szCs w:val="21"/>
        </w:rPr>
        <w:t>to relevant contractors providing services to the above parties</w:t>
      </w:r>
    </w:p>
    <w:p w14:paraId="19E24376" w14:textId="77777777" w:rsidR="001A3E11" w:rsidRPr="001A3E11" w:rsidRDefault="001A3E11" w:rsidP="00896FEC">
      <w:pPr>
        <w:numPr>
          <w:ilvl w:val="0"/>
          <w:numId w:val="28"/>
        </w:numPr>
        <w:rPr>
          <w:i/>
          <w:iCs/>
          <w:sz w:val="21"/>
          <w:szCs w:val="21"/>
        </w:rPr>
      </w:pPr>
      <w:r w:rsidRPr="001A3E11">
        <w:rPr>
          <w:i/>
          <w:iCs/>
          <w:sz w:val="21"/>
          <w:szCs w:val="21"/>
        </w:rPr>
        <w:t>in response to a request by another Australian minister</w:t>
      </w:r>
    </w:p>
    <w:p w14:paraId="1842C3C3" w14:textId="77777777" w:rsidR="001A3E11" w:rsidRPr="001A3E11" w:rsidRDefault="001A3E11" w:rsidP="00896FEC">
      <w:pPr>
        <w:numPr>
          <w:ilvl w:val="0"/>
          <w:numId w:val="27"/>
        </w:numPr>
        <w:rPr>
          <w:i/>
          <w:iCs/>
          <w:sz w:val="21"/>
          <w:szCs w:val="21"/>
        </w:rPr>
      </w:pPr>
      <w:r w:rsidRPr="001A3E11">
        <w:rPr>
          <w:i/>
          <w:iCs/>
          <w:sz w:val="21"/>
          <w:szCs w:val="21"/>
        </w:rPr>
        <w:t>where required by a House or a Committee of the Parliament of the Commonwealth of Australia</w:t>
      </w:r>
    </w:p>
    <w:p w14:paraId="545CC4AA" w14:textId="77777777" w:rsidR="001A3E11" w:rsidRPr="001A3E11" w:rsidRDefault="001A3E11" w:rsidP="00896FEC">
      <w:pPr>
        <w:numPr>
          <w:ilvl w:val="0"/>
          <w:numId w:val="27"/>
        </w:numPr>
        <w:rPr>
          <w:i/>
          <w:iCs/>
          <w:sz w:val="21"/>
          <w:szCs w:val="21"/>
        </w:rPr>
      </w:pPr>
      <w:r w:rsidRPr="001A3E11">
        <w:rPr>
          <w:i/>
          <w:iCs/>
          <w:sz w:val="21"/>
          <w:szCs w:val="21"/>
        </w:rPr>
        <w:t>where authorised or required by law.</w:t>
      </w:r>
    </w:p>
    <w:p w14:paraId="05F189C6" w14:textId="5F169BEA" w:rsidR="001A3E11" w:rsidRPr="001A3E11" w:rsidRDefault="001A3E11" w:rsidP="001A3E11">
      <w:pPr>
        <w:rPr>
          <w:i/>
          <w:iCs/>
          <w:sz w:val="21"/>
          <w:szCs w:val="21"/>
        </w:rPr>
      </w:pPr>
      <w:r w:rsidRPr="001A3E11">
        <w:rPr>
          <w:i/>
          <w:iCs/>
          <w:sz w:val="21"/>
          <w:szCs w:val="21"/>
        </w:rPr>
        <w:t xml:space="preserve">IP Australia will not use or disclose your personal information provided for any other purposes unless authorised or required by law. </w:t>
      </w:r>
    </w:p>
    <w:p w14:paraId="1E3F2681" w14:textId="77777777" w:rsidR="001A3E11" w:rsidRPr="001A3E11" w:rsidRDefault="001A3E11" w:rsidP="001A3E11">
      <w:pPr>
        <w:rPr>
          <w:b/>
          <w:bCs/>
          <w:i/>
          <w:iCs/>
          <w:sz w:val="21"/>
          <w:szCs w:val="21"/>
        </w:rPr>
      </w:pPr>
      <w:r w:rsidRPr="001A3E11">
        <w:rPr>
          <w:b/>
          <w:bCs/>
          <w:i/>
          <w:iCs/>
          <w:sz w:val="21"/>
          <w:szCs w:val="21"/>
        </w:rPr>
        <w:t>Further information</w:t>
      </w:r>
    </w:p>
    <w:p w14:paraId="77B4F7D4" w14:textId="77777777" w:rsidR="001A3E11" w:rsidRPr="001A3E11" w:rsidRDefault="001A3E11" w:rsidP="001A3E11">
      <w:pPr>
        <w:rPr>
          <w:i/>
          <w:iCs/>
          <w:sz w:val="21"/>
          <w:szCs w:val="21"/>
        </w:rPr>
      </w:pPr>
      <w:r w:rsidRPr="001A3E11">
        <w:rPr>
          <w:i/>
          <w:iCs/>
          <w:sz w:val="21"/>
          <w:szCs w:val="21"/>
        </w:rPr>
        <w:t xml:space="preserve">For more information about how IP Australia handles your personal information, how you may access or correct your personal information or how to make a privacy-related complaint, please see our </w:t>
      </w:r>
      <w:hyperlink r:id="rId14" w:history="1">
        <w:r w:rsidRPr="001A3E11">
          <w:rPr>
            <w:rStyle w:val="Hyperlink"/>
            <w:i/>
            <w:iCs/>
            <w:sz w:val="21"/>
            <w:szCs w:val="21"/>
          </w:rPr>
          <w:t>Privacy Policy</w:t>
        </w:r>
      </w:hyperlink>
      <w:r w:rsidRPr="001A3E11">
        <w:rPr>
          <w:i/>
          <w:iCs/>
          <w:sz w:val="21"/>
          <w:szCs w:val="21"/>
        </w:rPr>
        <w:t>.</w:t>
      </w:r>
    </w:p>
    <w:p w14:paraId="74947F77" w14:textId="77777777" w:rsidR="001A3E11" w:rsidRPr="001A3E11" w:rsidRDefault="001A3E11" w:rsidP="001A3E11">
      <w:pPr>
        <w:jc w:val="both"/>
        <w:rPr>
          <w:i/>
          <w:iCs/>
          <w:sz w:val="21"/>
          <w:szCs w:val="21"/>
        </w:rPr>
      </w:pPr>
    </w:p>
    <w:bookmarkEnd w:id="2"/>
    <w:p w14:paraId="384821A8" w14:textId="77777777" w:rsidR="001A3E11" w:rsidRDefault="001A3E11">
      <w:pPr>
        <w:adjustRightInd/>
        <w:snapToGrid/>
        <w:spacing w:after="0" w:line="240" w:lineRule="atLeast"/>
        <w:rPr>
          <w:rFonts w:asciiTheme="majorHAnsi" w:eastAsiaTheme="majorEastAsia" w:hAnsiTheme="majorHAnsi"/>
          <w:kern w:val="32"/>
          <w:sz w:val="40"/>
        </w:rPr>
      </w:pPr>
      <w:r>
        <w:br w:type="page"/>
      </w:r>
    </w:p>
    <w:p w14:paraId="4F34F806" w14:textId="25CCAE51" w:rsidR="005E5FEB" w:rsidRDefault="005E5FEB" w:rsidP="00D37B9F">
      <w:pPr>
        <w:pStyle w:val="Heading2"/>
        <w:jc w:val="both"/>
      </w:pPr>
      <w:r>
        <w:lastRenderedPageBreak/>
        <w:t>Introduction</w:t>
      </w:r>
    </w:p>
    <w:p w14:paraId="7E7D766C" w14:textId="704FD3B8" w:rsidR="001D3257" w:rsidRDefault="0073613E">
      <w:pPr>
        <w:pStyle w:val="BodyText"/>
        <w:spacing w:before="56" w:line="280" w:lineRule="auto"/>
        <w:ind w:right="260"/>
        <w:jc w:val="both"/>
      </w:pPr>
      <w:r w:rsidRPr="0073613E">
        <w:t xml:space="preserve">Since the </w:t>
      </w:r>
      <w:r w:rsidRPr="0073613E">
        <w:rPr>
          <w:i/>
          <w:iCs/>
        </w:rPr>
        <w:t>Plant Breeder’s Rights Act 1994</w:t>
      </w:r>
      <w:r w:rsidRPr="0073613E">
        <w:t xml:space="preserve"> (PBR Act) commenced, several reviews and reports have noted stakeholder concerns about Australia’s approach to essentially derived varieties (EDVs).</w:t>
      </w:r>
      <w:r w:rsidR="00610813" w:rsidRPr="00610813">
        <w:rPr>
          <w:rStyle w:val="FootnoteReference"/>
        </w:rPr>
        <w:t xml:space="preserve"> </w:t>
      </w:r>
      <w:r w:rsidR="00610813">
        <w:rPr>
          <w:rStyle w:val="FootnoteReference"/>
        </w:rPr>
        <w:footnoteReference w:id="2"/>
      </w:r>
      <w:r w:rsidRPr="0073613E">
        <w:t xml:space="preserve"> </w:t>
      </w:r>
    </w:p>
    <w:p w14:paraId="29AF6F11" w14:textId="0A0D6301" w:rsidR="0086507F" w:rsidRDefault="0073613E">
      <w:pPr>
        <w:pStyle w:val="BodyText"/>
        <w:spacing w:before="56" w:line="280" w:lineRule="auto"/>
        <w:ind w:right="260"/>
        <w:jc w:val="both"/>
        <w:rPr>
          <w:color w:val="000000"/>
          <w:kern w:val="2"/>
          <w:szCs w:val="22"/>
          <w:lang w:eastAsia="en-AU"/>
          <w14:ligatures w14:val="standardContextual"/>
        </w:rPr>
      </w:pPr>
      <w:r w:rsidRPr="0073613E">
        <w:t>In 2021, IP Australia consulted publicly on p</w:t>
      </w:r>
      <w:r w:rsidR="00957B91">
        <w:t>otential</w:t>
      </w:r>
      <w:r w:rsidRPr="0073613E">
        <w:t xml:space="preserve"> changes to the International Union for the Protection of New Varieties of Plants (UPOV) explanatory notes on EDVs</w:t>
      </w:r>
      <w:r w:rsidR="00406BC7">
        <w:rPr>
          <w:rStyle w:val="FootnoteReference"/>
        </w:rPr>
        <w:footnoteReference w:id="3"/>
      </w:r>
      <w:r w:rsidRPr="0073613E">
        <w:t xml:space="preserve"> and commissioned the University of Queensland (UQ) to consider whether Australia should adopt the approach in the then-draft explanatory notes.</w:t>
      </w:r>
      <w:r w:rsidR="00406BC7">
        <w:rPr>
          <w:rStyle w:val="FootnoteReference"/>
        </w:rPr>
        <w:footnoteReference w:id="4"/>
      </w:r>
      <w:r w:rsidR="00406BC7">
        <w:t xml:space="preserve"> </w:t>
      </w:r>
      <w:r w:rsidR="00006EE3">
        <w:t>Following consultation</w:t>
      </w:r>
      <w:r w:rsidR="002A5D05">
        <w:t>,</w:t>
      </w:r>
      <w:r w:rsidR="00006EE3">
        <w:t xml:space="preserve"> IP Australia agreed </w:t>
      </w:r>
      <w:r w:rsidR="00CC7DDB">
        <w:t>to review</w:t>
      </w:r>
      <w:r w:rsidR="00006EE3">
        <w:t xml:space="preserve"> </w:t>
      </w:r>
      <w:r w:rsidR="00EB1957">
        <w:t xml:space="preserve">the </w:t>
      </w:r>
      <w:r w:rsidRPr="0073613E">
        <w:t>EDV provisions to assess whether they remain clear, fit for purpose and appropriately balance incentives for initial breeders and follow-on innovation, particularly considering advances in breeding technologies.</w:t>
      </w:r>
    </w:p>
    <w:p w14:paraId="17A3886E" w14:textId="2A6A81E4" w:rsidR="0086507F" w:rsidRDefault="0086507F" w:rsidP="00367D16">
      <w:r w:rsidRPr="000220B1">
        <w:t xml:space="preserve">IP Australia </w:t>
      </w:r>
      <w:r w:rsidRPr="000B45E6">
        <w:t>seeks</w:t>
      </w:r>
      <w:r>
        <w:t xml:space="preserve"> </w:t>
      </w:r>
      <w:r w:rsidRPr="5A98F03B">
        <w:t>evidence</w:t>
      </w:r>
      <w:r>
        <w:t xml:space="preserve"> and practical examples</w:t>
      </w:r>
      <w:r w:rsidRPr="5A98F03B">
        <w:t xml:space="preserve"> </w:t>
      </w:r>
      <w:r w:rsidR="005D34B6" w:rsidRPr="005D34B6">
        <w:t>on</w:t>
      </w:r>
      <w:r>
        <w:t xml:space="preserve"> </w:t>
      </w:r>
      <w:r w:rsidRPr="00AC19F6">
        <w:t xml:space="preserve">whether </w:t>
      </w:r>
      <w:r w:rsidR="007B638D">
        <w:t>Australia’s</w:t>
      </w:r>
      <w:r w:rsidRPr="00AC19F6">
        <w:t xml:space="preserve"> EDV provisions </w:t>
      </w:r>
      <w:r w:rsidRPr="000B45E6">
        <w:t>operate</w:t>
      </w:r>
      <w:r w:rsidRPr="00AC19F6">
        <w:t xml:space="preserve"> effectively and </w:t>
      </w:r>
      <w:r>
        <w:t>as intended</w:t>
      </w:r>
      <w:r w:rsidRPr="00870D07">
        <w:t xml:space="preserve">. </w:t>
      </w:r>
      <w:r w:rsidR="005D34B6" w:rsidRPr="005D34B6">
        <w:t>This</w:t>
      </w:r>
      <w:r w:rsidRPr="000220B1">
        <w:t xml:space="preserve"> paper explains</w:t>
      </w:r>
      <w:r w:rsidRPr="6EED8264">
        <w:rPr>
          <w:lang w:bidi="he-IL"/>
        </w:rPr>
        <w:t xml:space="preserve"> the development of the EDV concept</w:t>
      </w:r>
      <w:r w:rsidR="007A7BD9">
        <w:rPr>
          <w:lang w:bidi="he-IL"/>
        </w:rPr>
        <w:t>,</w:t>
      </w:r>
      <w:r w:rsidRPr="6EED8264">
        <w:rPr>
          <w:lang w:bidi="he-IL"/>
        </w:rPr>
        <w:t xml:space="preserve"> </w:t>
      </w:r>
      <w:r w:rsidR="005D34B6" w:rsidRPr="005D34B6">
        <w:t>Australia’s</w:t>
      </w:r>
      <w:r w:rsidRPr="6EED8264">
        <w:rPr>
          <w:lang w:bidi="he-IL"/>
        </w:rPr>
        <w:t xml:space="preserve"> current framework</w:t>
      </w:r>
      <w:r w:rsidR="007A7BD9">
        <w:rPr>
          <w:lang w:bidi="he-IL"/>
        </w:rPr>
        <w:t xml:space="preserve"> and</w:t>
      </w:r>
      <w:r w:rsidRPr="6EED8264">
        <w:rPr>
          <w:lang w:bidi="he-IL"/>
        </w:rPr>
        <w:t xml:space="preserve"> </w:t>
      </w:r>
      <w:r w:rsidRPr="00870D07">
        <w:t xml:space="preserve">then </w:t>
      </w:r>
      <w:r w:rsidRPr="000220B1">
        <w:t>examines</w:t>
      </w:r>
      <w:r>
        <w:t xml:space="preserve"> three main areas</w:t>
      </w:r>
      <w:r w:rsidR="007A7BD9">
        <w:t xml:space="preserve"> for discussion</w:t>
      </w:r>
      <w:r>
        <w:t>:</w:t>
      </w:r>
    </w:p>
    <w:p w14:paraId="0FA041E2" w14:textId="77777777" w:rsidR="00367D16" w:rsidRDefault="00367D16" w:rsidP="00896FEC">
      <w:pPr>
        <w:pStyle w:val="ListParagraph"/>
        <w:numPr>
          <w:ilvl w:val="0"/>
          <w:numId w:val="26"/>
        </w:numPr>
        <w:adjustRightInd/>
        <w:rPr>
          <w:color w:val="000000"/>
          <w:kern w:val="2"/>
          <w:szCs w:val="22"/>
          <w:lang w:eastAsia="en-AU"/>
          <w14:ligatures w14:val="standardContextual"/>
        </w:rPr>
      </w:pPr>
      <w:r>
        <w:t>whether the EDV provisions are sufficiently clear;</w:t>
      </w:r>
    </w:p>
    <w:p w14:paraId="120C3061" w14:textId="77777777" w:rsidR="00367D16" w:rsidRDefault="00367D16" w:rsidP="00896FEC">
      <w:pPr>
        <w:pStyle w:val="ListParagraph"/>
        <w:numPr>
          <w:ilvl w:val="0"/>
          <w:numId w:val="26"/>
        </w:numPr>
        <w:adjustRightInd/>
      </w:pPr>
      <w:r>
        <w:t>whether the threshold for establishing essential derivation is appropriate; and</w:t>
      </w:r>
    </w:p>
    <w:p w14:paraId="78A8B255" w14:textId="71999090" w:rsidR="00367D16" w:rsidRDefault="00F06955" w:rsidP="00896FEC">
      <w:pPr>
        <w:pStyle w:val="ListParagraph"/>
        <w:numPr>
          <w:ilvl w:val="0"/>
          <w:numId w:val="26"/>
        </w:numPr>
        <w:adjustRightInd/>
      </w:pPr>
      <w:r>
        <w:t>the EDV determination process.</w:t>
      </w:r>
    </w:p>
    <w:p w14:paraId="35863528" w14:textId="232BF584" w:rsidR="0086507F" w:rsidRDefault="00E16468" w:rsidP="00F32416">
      <w:pPr>
        <w:tabs>
          <w:tab w:val="left" w:pos="5387"/>
        </w:tabs>
      </w:pPr>
      <w:r w:rsidRPr="00E16468">
        <w:t>This</w:t>
      </w:r>
      <w:r w:rsidR="00367D16" w:rsidRPr="00A75662">
        <w:t xml:space="preserve"> paper presents </w:t>
      </w:r>
      <w:r w:rsidR="00CE629B">
        <w:t>issues</w:t>
      </w:r>
      <w:r w:rsidR="00367D16" w:rsidRPr="00A75662">
        <w:t xml:space="preserve"> for discussion</w:t>
      </w:r>
      <w:r w:rsidR="00367D16" w:rsidRPr="00F61F55">
        <w:t xml:space="preserve"> but does not propose</w:t>
      </w:r>
      <w:r w:rsidR="00367D16" w:rsidRPr="00A75662">
        <w:t xml:space="preserve"> a preferred model</w:t>
      </w:r>
      <w:r w:rsidR="00ED69A3">
        <w:t xml:space="preserve"> for reform</w:t>
      </w:r>
      <w:r w:rsidR="0086507F" w:rsidRPr="00A75662">
        <w:t>.</w:t>
      </w:r>
    </w:p>
    <w:p w14:paraId="520208DA" w14:textId="1B6CF38D" w:rsidR="0086507F" w:rsidRDefault="00E712CF" w:rsidP="00F32416">
      <w:pPr>
        <w:tabs>
          <w:tab w:val="left" w:pos="5387"/>
        </w:tabs>
      </w:pPr>
      <w:r w:rsidRPr="00E712CF">
        <w:t>The consultation</w:t>
      </w:r>
      <w:r w:rsidR="00367D16">
        <w:rPr>
          <w:lang w:bidi="he-IL"/>
        </w:rPr>
        <w:t xml:space="preserve"> questions throughout </w:t>
      </w:r>
      <w:r w:rsidRPr="00E712CF">
        <w:t>this</w:t>
      </w:r>
      <w:r w:rsidR="00367D16" w:rsidRPr="00A75662">
        <w:t xml:space="preserve"> paper </w:t>
      </w:r>
      <w:r w:rsidRPr="00E712CF">
        <w:t>seek</w:t>
      </w:r>
      <w:r w:rsidR="00367D16" w:rsidRPr="00A75662">
        <w:t xml:space="preserve"> evidence, </w:t>
      </w:r>
      <w:r w:rsidR="00426E4C">
        <w:t>practical</w:t>
      </w:r>
      <w:r w:rsidR="00367D16" w:rsidRPr="00A75662">
        <w:t xml:space="preserve"> examples and views on the benefits, risks and likely effects of change</w:t>
      </w:r>
      <w:r w:rsidR="003955D9">
        <w:t>s to the law</w:t>
      </w:r>
      <w:r w:rsidR="00367D16" w:rsidRPr="00A75662">
        <w:t xml:space="preserve">. </w:t>
      </w:r>
      <w:r w:rsidR="0086507F" w:rsidRPr="00F32416">
        <w:t xml:space="preserve">You may request </w:t>
      </w:r>
      <w:r w:rsidRPr="00E712CF">
        <w:t>confidential treatment for</w:t>
      </w:r>
      <w:r w:rsidR="0086507F">
        <w:t xml:space="preserve"> your submission </w:t>
      </w:r>
      <w:r w:rsidRPr="00E712CF">
        <w:t>or</w:t>
      </w:r>
      <w:r w:rsidR="0086507F">
        <w:t xml:space="preserve"> </w:t>
      </w:r>
      <w:r w:rsidR="0086507F" w:rsidRPr="00F32416">
        <w:t>describe</w:t>
      </w:r>
      <w:r w:rsidR="0086507F">
        <w:t xml:space="preserve"> your</w:t>
      </w:r>
      <w:r w:rsidR="0086507F" w:rsidRPr="00F32416">
        <w:t xml:space="preserve"> examples in general terms.</w:t>
      </w:r>
    </w:p>
    <w:p w14:paraId="352E07B8" w14:textId="5748B636" w:rsidR="0086507F" w:rsidRDefault="00367D16">
      <w:pPr>
        <w:rPr>
          <w:color w:val="000000"/>
          <w:kern w:val="2"/>
          <w:szCs w:val="22"/>
          <w:lang w:eastAsia="en-AU"/>
          <w14:ligatures w14:val="standardContextual"/>
        </w:rPr>
      </w:pPr>
      <w:r w:rsidRPr="00A75662">
        <w:t xml:space="preserve">A </w:t>
      </w:r>
      <w:hyperlink w:anchor="_Consolidated_consultation_questions" w:history="1">
        <w:r w:rsidR="003458ED">
          <w:rPr>
            <w:rStyle w:val="Hyperlink"/>
          </w:rPr>
          <w:t>consolidated list</w:t>
        </w:r>
      </w:hyperlink>
      <w:r w:rsidR="003458ED">
        <w:t xml:space="preserve"> </w:t>
      </w:r>
      <w:r w:rsidR="003458ED" w:rsidRPr="003458ED">
        <w:t>of questions is available at the end of the document</w:t>
      </w:r>
      <w:r w:rsidR="001A5D47" w:rsidRPr="001A5D47">
        <w:t>. You may</w:t>
      </w:r>
      <w:r w:rsidR="004447D1">
        <w:t xml:space="preserve"> answer</w:t>
      </w:r>
      <w:r w:rsidR="005A39CB">
        <w:t xml:space="preserve"> </w:t>
      </w:r>
      <w:r w:rsidR="0026329E">
        <w:t>some or all the questions</w:t>
      </w:r>
      <w:r w:rsidR="00A53061">
        <w:t xml:space="preserve">. </w:t>
      </w:r>
      <w:r w:rsidR="00A53061" w:rsidRPr="00A53061">
        <w:t>You can also raise any relevant EDV issues that are not covered in this paper.</w:t>
      </w:r>
    </w:p>
    <w:p w14:paraId="2B098DAE" w14:textId="35728263" w:rsidR="00A31EEC" w:rsidRDefault="000E120E" w:rsidP="00DD7417">
      <w:pPr>
        <w:rPr>
          <w:lang w:bidi="he-IL"/>
        </w:rPr>
      </w:pPr>
      <w:r>
        <w:rPr>
          <w:lang w:bidi="he-IL"/>
        </w:rPr>
        <w:t xml:space="preserve">If you would like to meet with us to discuss the issues raised in this </w:t>
      </w:r>
      <w:r w:rsidR="00DC57B2">
        <w:rPr>
          <w:lang w:bidi="he-IL"/>
        </w:rPr>
        <w:t>paper,</w:t>
      </w:r>
      <w:r>
        <w:rPr>
          <w:lang w:bidi="he-IL"/>
        </w:rPr>
        <w:t xml:space="preserve"> please email </w:t>
      </w:r>
      <w:hyperlink r:id="rId15" w:history="1">
        <w:r w:rsidRPr="00E06474">
          <w:rPr>
            <w:rStyle w:val="Hyperlink"/>
            <w:lang w:bidi="he-IL"/>
          </w:rPr>
          <w:t>consultation@ipaustralia.gov.au</w:t>
        </w:r>
      </w:hyperlink>
      <w:r>
        <w:rPr>
          <w:lang w:bidi="he-IL"/>
        </w:rPr>
        <w:t xml:space="preserve">. </w:t>
      </w:r>
    </w:p>
    <w:p w14:paraId="2BD5D69B" w14:textId="7F4728B2" w:rsidR="00550969" w:rsidRDefault="00550969" w:rsidP="00550969">
      <w:pPr>
        <w:pStyle w:val="Heading3"/>
      </w:pPr>
      <w:r>
        <w:t>Making a Submission</w:t>
      </w:r>
    </w:p>
    <w:p w14:paraId="4596D4D8" w14:textId="77777777" w:rsidR="00550969" w:rsidRDefault="00550969" w:rsidP="00550969">
      <w:pPr>
        <w:pBdr>
          <w:top w:val="single" w:sz="4" w:space="1" w:color="auto"/>
          <w:left w:val="single" w:sz="4" w:space="4" w:color="auto"/>
          <w:bottom w:val="single" w:sz="4" w:space="1" w:color="auto"/>
          <w:right w:val="single" w:sz="4" w:space="4" w:color="auto"/>
        </w:pBdr>
        <w:spacing w:after="120"/>
      </w:pPr>
      <w:r>
        <w:t xml:space="preserve">Written submissions can be uploaded to IP Australia’s Consultation Hub: </w:t>
      </w:r>
      <w:hyperlink r:id="rId16" w:history="1">
        <w:r w:rsidRPr="009C54C8">
          <w:rPr>
            <w:rStyle w:val="Hyperlink"/>
          </w:rPr>
          <w:t>https://consultation.ipaustralia.gov.au/</w:t>
        </w:r>
      </w:hyperlink>
    </w:p>
    <w:p w14:paraId="5CA67EC6" w14:textId="061DD2BF" w:rsidR="00550969" w:rsidRDefault="00550969" w:rsidP="00550969">
      <w:pPr>
        <w:pBdr>
          <w:top w:val="single" w:sz="4" w:space="1" w:color="auto"/>
          <w:left w:val="single" w:sz="4" w:space="4" w:color="auto"/>
          <w:bottom w:val="single" w:sz="4" w:space="1" w:color="auto"/>
          <w:right w:val="single" w:sz="4" w:space="4" w:color="auto"/>
        </w:pBdr>
        <w:spacing w:after="120"/>
      </w:pPr>
      <w:r>
        <w:t>For accessibility reasons, please submit responses by email in Word, RTF, or PDF format.</w:t>
      </w:r>
    </w:p>
    <w:p w14:paraId="7A5A4DA4" w14:textId="61F4312A" w:rsidR="00550969" w:rsidRDefault="00550969" w:rsidP="00550969">
      <w:pPr>
        <w:pBdr>
          <w:top w:val="single" w:sz="4" w:space="1" w:color="auto"/>
          <w:left w:val="single" w:sz="4" w:space="4" w:color="auto"/>
          <w:bottom w:val="single" w:sz="4" w:space="1" w:color="auto"/>
          <w:right w:val="single" w:sz="4" w:space="4" w:color="auto"/>
        </w:pBdr>
        <w:spacing w:after="120"/>
      </w:pPr>
      <w:r>
        <w:t xml:space="preserve">The contact officer is </w:t>
      </w:r>
      <w:r w:rsidRPr="001A5163">
        <w:t>Isabel Ward</w:t>
      </w:r>
      <w:r>
        <w:t xml:space="preserve">, who may be contacted on (02) </w:t>
      </w:r>
      <w:r w:rsidRPr="15943170">
        <w:rPr>
          <w:rFonts w:ascii="Calibri" w:eastAsia="Calibri" w:hAnsi="Calibri" w:cs="Calibri"/>
        </w:rPr>
        <w:t>6283 2</w:t>
      </w:r>
      <w:r>
        <w:rPr>
          <w:rFonts w:ascii="Calibri" w:eastAsia="Calibri" w:hAnsi="Calibri" w:cs="Calibri"/>
        </w:rPr>
        <w:t>720</w:t>
      </w:r>
      <w:r w:rsidRPr="15943170">
        <w:rPr>
          <w:rFonts w:ascii="Calibri" w:eastAsia="Calibri" w:hAnsi="Calibri" w:cs="Calibri"/>
        </w:rPr>
        <w:t xml:space="preserve"> </w:t>
      </w:r>
      <w:r>
        <w:t xml:space="preserve">or via email </w:t>
      </w:r>
      <w:r w:rsidR="008C4960">
        <w:t>at</w:t>
      </w:r>
      <w:r>
        <w:t xml:space="preserve"> </w:t>
      </w:r>
      <w:hyperlink r:id="rId17">
        <w:r w:rsidRPr="15943170">
          <w:rPr>
            <w:rStyle w:val="Hyperlink"/>
          </w:rPr>
          <w:t>consultation@ipaustralia.gov.au</w:t>
        </w:r>
      </w:hyperlink>
      <w:r w:rsidR="000E120E">
        <w:t xml:space="preserve">. </w:t>
      </w:r>
    </w:p>
    <w:p w14:paraId="28B499A0" w14:textId="4BF74B34" w:rsidR="002D1FA6" w:rsidRPr="007976EC" w:rsidRDefault="002D1FA6" w:rsidP="00550969">
      <w:pPr>
        <w:pBdr>
          <w:top w:val="single" w:sz="4" w:space="1" w:color="auto"/>
          <w:left w:val="single" w:sz="4" w:space="4" w:color="auto"/>
          <w:bottom w:val="single" w:sz="4" w:space="1" w:color="auto"/>
          <w:right w:val="single" w:sz="4" w:space="4" w:color="auto"/>
        </w:pBdr>
        <w:spacing w:after="120"/>
        <w:rPr>
          <w:b/>
          <w:bCs/>
        </w:rPr>
      </w:pPr>
      <w:r>
        <w:rPr>
          <w:b/>
          <w:bCs/>
        </w:rPr>
        <w:t xml:space="preserve">Submissions should be received no later than </w:t>
      </w:r>
      <w:r w:rsidR="00AD172A">
        <w:rPr>
          <w:b/>
          <w:bCs/>
        </w:rPr>
        <w:t>Friday, 30 October 2026.</w:t>
      </w:r>
    </w:p>
    <w:p w14:paraId="42785110" w14:textId="1375C991" w:rsidR="009C5969" w:rsidRDefault="005E5FEB" w:rsidP="007D1254">
      <w:pPr>
        <w:pStyle w:val="Heading2"/>
      </w:pPr>
      <w:r>
        <w:lastRenderedPageBreak/>
        <w:t>Background</w:t>
      </w:r>
    </w:p>
    <w:p w14:paraId="2AC7B860" w14:textId="2ED89945" w:rsidR="005E5FEB" w:rsidRPr="005E5FEB" w:rsidRDefault="005E5FEB" w:rsidP="005E5FEB">
      <w:pPr>
        <w:pStyle w:val="Heading4"/>
      </w:pPr>
      <w:r w:rsidRPr="005E5FEB">
        <w:t>The UPOV System</w:t>
      </w:r>
      <w:r>
        <w:t xml:space="preserve"> and EDVs</w:t>
      </w:r>
      <w:r w:rsidRPr="005E5FEB">
        <w:t xml:space="preserve"> </w:t>
      </w:r>
    </w:p>
    <w:p w14:paraId="54EF35A1" w14:textId="38AF7748" w:rsidR="005E5FEB" w:rsidRPr="005E5FEB" w:rsidRDefault="00150CEA" w:rsidP="003B5444">
      <w:r w:rsidRPr="005E5FEB">
        <w:t>The UPOV Convention</w:t>
      </w:r>
      <w:r w:rsidRPr="005E5FEB">
        <w:rPr>
          <w:vertAlign w:val="superscript"/>
        </w:rPr>
        <w:footnoteReference w:id="5"/>
      </w:r>
      <w:r w:rsidRPr="005E5FEB">
        <w:t xml:space="preserve"> </w:t>
      </w:r>
      <w:r>
        <w:t>is</w:t>
      </w:r>
      <w:r w:rsidRPr="005E5FEB">
        <w:t xml:space="preserve"> the framework for domestic </w:t>
      </w:r>
      <w:r>
        <w:t xml:space="preserve">plant variety </w:t>
      </w:r>
      <w:r w:rsidRPr="005E5FEB">
        <w:t>legislation</w:t>
      </w:r>
      <w:r w:rsidR="001A53AC" w:rsidRPr="001A53AC">
        <w:t xml:space="preserve"> in member countries.</w:t>
      </w:r>
      <w:r w:rsidRPr="34DA28D8">
        <w:rPr>
          <w:rFonts w:cstheme="minorBidi"/>
          <w:color w:val="auto"/>
        </w:rPr>
        <w:t xml:space="preserve"> </w:t>
      </w:r>
      <w:r w:rsidR="007E1B69">
        <w:t>Australia is a member of</w:t>
      </w:r>
      <w:r w:rsidR="007E1B69" w:rsidRPr="006D0ECA">
        <w:t xml:space="preserve"> UPOV</w:t>
      </w:r>
      <w:r w:rsidR="007E1B69">
        <w:t xml:space="preserve"> and</w:t>
      </w:r>
      <w:r w:rsidR="007E1B69" w:rsidDel="00C6165E">
        <w:t xml:space="preserve"> </w:t>
      </w:r>
      <w:r w:rsidR="007E1B69">
        <w:t>party</w:t>
      </w:r>
      <w:r w:rsidR="005E5FEB" w:rsidRPr="005E5FEB">
        <w:t xml:space="preserve"> to the 1991 Act of the UPOV Convention </w:t>
      </w:r>
      <w:r w:rsidR="007E1B69">
        <w:t>(UPOV91).</w:t>
      </w:r>
      <w:r w:rsidR="0095482D">
        <w:t xml:space="preserve"> </w:t>
      </w:r>
      <w:r w:rsidR="00F96C67">
        <w:t>T</w:t>
      </w:r>
      <w:r w:rsidR="005E5FEB" w:rsidRPr="005E5FEB">
        <w:t xml:space="preserve">he UPOV Convention </w:t>
      </w:r>
      <w:r w:rsidR="00F96C67">
        <w:t xml:space="preserve">includes </w:t>
      </w:r>
      <w:r w:rsidR="001C362F">
        <w:t>the</w:t>
      </w:r>
      <w:r w:rsidR="005E5FEB" w:rsidRPr="005E5FEB">
        <w:t xml:space="preserve"> ‘breeder’s exemption’ which allows plant breeders to use protected varieties </w:t>
      </w:r>
      <w:r w:rsidR="003044FD">
        <w:t>to</w:t>
      </w:r>
      <w:r w:rsidR="005E5FEB" w:rsidRPr="005E5FEB">
        <w:t xml:space="preserve"> develop new varieties without authorisation by the rights holder. This exemption reflects the cumulative and iterative nature of plant breeding, where breeders rely on existing varieties to introduce genetic variation. </w:t>
      </w:r>
    </w:p>
    <w:p w14:paraId="3337BD0D" w14:textId="29F3F875" w:rsidR="005E5FEB" w:rsidRPr="005E5FEB" w:rsidRDefault="00FC2E05" w:rsidP="2C18796E">
      <w:r>
        <w:t>Historically, t</w:t>
      </w:r>
      <w:r w:rsidR="005D5F3A" w:rsidRPr="005D5F3A">
        <w:t xml:space="preserve">he time-intensive and iterative nature of plant breeding generally </w:t>
      </w:r>
      <w:r w:rsidR="007D2D67">
        <w:t>gave</w:t>
      </w:r>
      <w:r w:rsidR="007D2D67" w:rsidRPr="005D5F3A">
        <w:t xml:space="preserve"> </w:t>
      </w:r>
      <w:r w:rsidR="00B35F67">
        <w:t>the</w:t>
      </w:r>
      <w:r w:rsidR="005D5F3A" w:rsidRPr="005D5F3A">
        <w:t xml:space="preserve"> </w:t>
      </w:r>
      <w:r w:rsidR="00B858D1">
        <w:t>initia</w:t>
      </w:r>
      <w:r w:rsidR="005D5F3A" w:rsidRPr="005D5F3A">
        <w:t>l breeder time to realise a return on their investment before improved varieties entered the market.</w:t>
      </w:r>
      <w:r w:rsidR="005E5FEB" w:rsidRPr="005E5FEB">
        <w:rPr>
          <w:vertAlign w:val="superscript"/>
        </w:rPr>
        <w:t xml:space="preserve"> </w:t>
      </w:r>
      <w:r w:rsidR="005E5FEB" w:rsidRPr="2C18796E">
        <w:rPr>
          <w:vertAlign w:val="superscript"/>
        </w:rPr>
        <w:footnoteReference w:id="6"/>
      </w:r>
      <w:r w:rsidR="7999F51C">
        <w:t xml:space="preserve"> However, i</w:t>
      </w:r>
      <w:r w:rsidR="005E5FEB">
        <w:t>n</w:t>
      </w:r>
      <w:r w:rsidR="005E5FEB" w:rsidRPr="005E5FEB">
        <w:t xml:space="preserve"> the lead up to the </w:t>
      </w:r>
      <w:r w:rsidR="005424E2" w:rsidRPr="005424E2">
        <w:t xml:space="preserve">agreement of </w:t>
      </w:r>
      <w:r w:rsidR="00214073">
        <w:t>UPOV91</w:t>
      </w:r>
      <w:r w:rsidR="005424E2" w:rsidRPr="005424E2">
        <w:t>, stakeholders raised</w:t>
      </w:r>
      <w:r w:rsidR="005E5FEB" w:rsidRPr="005E5FEB">
        <w:t xml:space="preserve"> concerns </w:t>
      </w:r>
      <w:r w:rsidR="005424E2" w:rsidRPr="005424E2">
        <w:t>about</w:t>
      </w:r>
      <w:r w:rsidR="005E5FEB" w:rsidRPr="005E5FEB">
        <w:t xml:space="preserve"> the impact of genetic engineering and molecular techniques. </w:t>
      </w:r>
      <w:r w:rsidR="005424E2" w:rsidRPr="005424E2">
        <w:t xml:space="preserve">They expected that </w:t>
      </w:r>
      <w:r w:rsidR="005E5FEB" w:rsidRPr="005E5FEB">
        <w:t xml:space="preserve">more precise </w:t>
      </w:r>
      <w:r w:rsidR="005424E2" w:rsidRPr="005424E2">
        <w:t xml:space="preserve">trait </w:t>
      </w:r>
      <w:r w:rsidR="005E5FEB" w:rsidRPr="005E5FEB">
        <w:t xml:space="preserve">selection would </w:t>
      </w:r>
      <w:r w:rsidR="005424E2" w:rsidRPr="005424E2">
        <w:t xml:space="preserve">reduce the </w:t>
      </w:r>
      <w:r w:rsidR="005E5FEB" w:rsidRPr="005E5FEB">
        <w:t xml:space="preserve">time </w:t>
      </w:r>
      <w:r w:rsidR="005424E2" w:rsidRPr="005424E2">
        <w:t xml:space="preserve">needed </w:t>
      </w:r>
      <w:r w:rsidR="005E5FEB" w:rsidRPr="005E5FEB">
        <w:t xml:space="preserve">to develop new varieties and </w:t>
      </w:r>
      <w:r w:rsidR="005424E2" w:rsidRPr="005424E2">
        <w:t>could</w:t>
      </w:r>
      <w:r w:rsidR="005E5FEB" w:rsidRPr="005E5FEB">
        <w:t xml:space="preserve"> limit the </w:t>
      </w:r>
      <w:r w:rsidR="004D4FF2">
        <w:t>initial</w:t>
      </w:r>
      <w:r w:rsidR="005E5FEB" w:rsidRPr="005E5FEB">
        <w:t xml:space="preserve"> breeder’s ability to realise a return on investment. </w:t>
      </w:r>
      <w:r w:rsidR="005424E2" w:rsidRPr="005424E2">
        <w:t>They</w:t>
      </w:r>
      <w:r w:rsidR="005E5FEB" w:rsidRPr="005E5FEB">
        <w:t xml:space="preserve"> also </w:t>
      </w:r>
      <w:r w:rsidR="005424E2" w:rsidRPr="005424E2">
        <w:t xml:space="preserve">raised </w:t>
      </w:r>
      <w:r w:rsidR="005E5FEB" w:rsidRPr="005E5FEB">
        <w:t xml:space="preserve">concerns that </w:t>
      </w:r>
      <w:r w:rsidR="005424E2" w:rsidRPr="005424E2">
        <w:t>these techniques</w:t>
      </w:r>
      <w:r w:rsidR="005E5FEB" w:rsidRPr="005E5FEB">
        <w:t xml:space="preserve"> could enable </w:t>
      </w:r>
      <w:r w:rsidR="005424E2" w:rsidRPr="005424E2">
        <w:t>breeders to create</w:t>
      </w:r>
      <w:r w:rsidR="005E5FEB" w:rsidRPr="005E5FEB">
        <w:t xml:space="preserve"> genetically similar varieties with minor or trivial changes, thereby undermining the value and originality of high-investment breeding programs.</w:t>
      </w:r>
      <w:r w:rsidR="005E5FEB" w:rsidRPr="005E5FEB">
        <w:rPr>
          <w:vertAlign w:val="superscript"/>
        </w:rPr>
        <w:footnoteReference w:id="7"/>
      </w:r>
    </w:p>
    <w:p w14:paraId="02DD3E11" w14:textId="0E77D45C" w:rsidR="005E5FEB" w:rsidRPr="005E5FEB" w:rsidRDefault="005E5FEB" w:rsidP="00D37B9F">
      <w:pPr>
        <w:jc w:val="both"/>
      </w:pPr>
      <w:r w:rsidRPr="005E5FEB">
        <w:t>To address these concerns</w:t>
      </w:r>
      <w:r w:rsidR="0013348B">
        <w:t>,</w:t>
      </w:r>
      <w:r w:rsidR="00392D5A">
        <w:t xml:space="preserve"> UPOV91 </w:t>
      </w:r>
      <w:r w:rsidR="00FA2C68">
        <w:t>introduced</w:t>
      </w:r>
      <w:r w:rsidRPr="005E5FEB">
        <w:t xml:space="preserve"> the concept of “essential derivation”</w:t>
      </w:r>
      <w:r w:rsidR="000A6C41">
        <w:t>.</w:t>
      </w:r>
      <w:r w:rsidRPr="005E5FEB">
        <w:t xml:space="preserve"> Article 14(5)(b) </w:t>
      </w:r>
      <w:r w:rsidR="00C5518B">
        <w:t xml:space="preserve">of UPOV91 </w:t>
      </w:r>
      <w:r w:rsidRPr="005E5FEB">
        <w:t xml:space="preserve">defines an </w:t>
      </w:r>
      <w:r w:rsidR="00C5518B">
        <w:t xml:space="preserve">EDV </w:t>
      </w:r>
      <w:r w:rsidRPr="005E5FEB">
        <w:t>as follows:</w:t>
      </w:r>
    </w:p>
    <w:p w14:paraId="09188548" w14:textId="77777777" w:rsidR="005E5FEB" w:rsidRPr="005E5FEB" w:rsidRDefault="005E5FEB" w:rsidP="00896FEC">
      <w:pPr>
        <w:numPr>
          <w:ilvl w:val="0"/>
          <w:numId w:val="21"/>
        </w:numPr>
        <w:jc w:val="both"/>
      </w:pPr>
      <w:r w:rsidRPr="005E5FEB">
        <w:t>it is predominantly derived from the initial variety, or from a variety that is itself predominantly derived from the initial variety, while retaining the expression of the essential characteristics that result from the genotype or combination of genotypes of the initial variety,</w:t>
      </w:r>
    </w:p>
    <w:p w14:paraId="0CBDC6B1" w14:textId="69F967E4" w:rsidR="005E5FEB" w:rsidRPr="005E5FEB" w:rsidRDefault="005E5FEB" w:rsidP="00896FEC">
      <w:pPr>
        <w:numPr>
          <w:ilvl w:val="0"/>
          <w:numId w:val="21"/>
        </w:numPr>
        <w:jc w:val="both"/>
      </w:pPr>
      <w:r w:rsidRPr="005E5FEB">
        <w:t>it is clearly distinguishable from the initial variety</w:t>
      </w:r>
      <w:r w:rsidR="009C0CE4">
        <w:t>,</w:t>
      </w:r>
      <w:r w:rsidRPr="005E5FEB">
        <w:t xml:space="preserve"> and</w:t>
      </w:r>
    </w:p>
    <w:p w14:paraId="677C3C3B" w14:textId="0EFB9364" w:rsidR="005E5FEB" w:rsidRPr="005E5FEB" w:rsidRDefault="005E5FEB" w:rsidP="00896FEC">
      <w:pPr>
        <w:numPr>
          <w:ilvl w:val="0"/>
          <w:numId w:val="21"/>
        </w:numPr>
        <w:jc w:val="both"/>
      </w:pPr>
      <w:r w:rsidRPr="005E5FEB">
        <w:t>except for the differences which result from the act of derivation, it conforms to the initial variety in the expression of the essential characteristics that result from the genotype or combination of genotypes of the initial variety.</w:t>
      </w:r>
    </w:p>
    <w:p w14:paraId="1D766B8C" w14:textId="3AABB2B6" w:rsidR="00045F68" w:rsidRDefault="006C1750">
      <w:pPr>
        <w:rPr>
          <w:color w:val="000000"/>
          <w:kern w:val="2"/>
          <w:szCs w:val="22"/>
          <w:lang w:eastAsia="en-AU"/>
          <w14:ligatures w14:val="standardContextual"/>
        </w:rPr>
      </w:pPr>
      <w:r w:rsidRPr="006C1750">
        <w:t xml:space="preserve">Article 14 </w:t>
      </w:r>
      <w:r w:rsidR="00B73D70">
        <w:t>extends the</w:t>
      </w:r>
      <w:r w:rsidRPr="006C1750">
        <w:t xml:space="preserve"> breeder’s rights </w:t>
      </w:r>
      <w:r w:rsidR="006E44C9">
        <w:t>to</w:t>
      </w:r>
      <w:r w:rsidRPr="006C1750">
        <w:t xml:space="preserve"> the initial variety to any varieties derived from it. This means</w:t>
      </w:r>
      <w:r w:rsidR="006E44C9">
        <w:t xml:space="preserve"> third</w:t>
      </w:r>
      <w:r w:rsidRPr="006C1750">
        <w:t xml:space="preserve"> parties must obtain authorisation from both the breeder of the EDV and the rights holder for the initial variety before commercialising an EDV. The rights holder for the initial variety retains rights over the EDV until the PBR for the initial variety expires.</w:t>
      </w:r>
      <w:r w:rsidRPr="006C1750">
        <w:rPr>
          <w:vertAlign w:val="superscript"/>
        </w:rPr>
        <w:t xml:space="preserve"> </w:t>
      </w:r>
    </w:p>
    <w:p w14:paraId="693D9F45" w14:textId="326732B7" w:rsidR="002F3A7C" w:rsidRPr="005E5FEB" w:rsidRDefault="002F3A7C" w:rsidP="002F3A7C">
      <w:pPr>
        <w:pStyle w:val="Heading4"/>
        <w:jc w:val="both"/>
      </w:pPr>
      <w:r w:rsidRPr="005E5FEB">
        <w:t>EDVs in Australian legislation</w:t>
      </w:r>
    </w:p>
    <w:p w14:paraId="1DD245B2" w14:textId="0C354465" w:rsidR="002F3A7C" w:rsidRPr="005E5FEB" w:rsidRDefault="002F3A7C" w:rsidP="002F3A7C">
      <w:pPr>
        <w:jc w:val="both"/>
      </w:pPr>
      <w:r w:rsidRPr="005E5FEB">
        <w:t>In Australia</w:t>
      </w:r>
      <w:r w:rsidR="000B69D2">
        <w:t>,</w:t>
      </w:r>
      <w:r w:rsidRPr="005E5FEB">
        <w:t xml:space="preserve"> PBRs are granted under the PBR Act</w:t>
      </w:r>
      <w:r w:rsidR="00746D43">
        <w:t xml:space="preserve"> which is </w:t>
      </w:r>
      <w:r w:rsidR="00E1524B">
        <w:t>align</w:t>
      </w:r>
      <w:r w:rsidR="00746D43">
        <w:t>ed</w:t>
      </w:r>
      <w:r w:rsidR="00E1524B">
        <w:t xml:space="preserve"> with </w:t>
      </w:r>
      <w:r w:rsidRPr="005E5FEB">
        <w:t xml:space="preserve">UPOV91. </w:t>
      </w:r>
      <w:r w:rsidR="00EC1143">
        <w:t xml:space="preserve"> </w:t>
      </w:r>
      <w:r w:rsidRPr="005E5FEB">
        <w:rPr>
          <w:bCs/>
        </w:rPr>
        <w:t xml:space="preserve">Section 4 of the PBR Act </w:t>
      </w:r>
      <w:r w:rsidR="00827AD7">
        <w:rPr>
          <w:bCs/>
        </w:rPr>
        <w:t>provides</w:t>
      </w:r>
      <w:r w:rsidRPr="005E5FEB">
        <w:rPr>
          <w:bCs/>
        </w:rPr>
        <w:t xml:space="preserve"> that a</w:t>
      </w:r>
      <w:r w:rsidRPr="005E5FEB">
        <w:t xml:space="preserve"> plant variety is an essentially derived variety of another plant variety if:</w:t>
      </w:r>
    </w:p>
    <w:p w14:paraId="26C884D9" w14:textId="77777777" w:rsidR="002F3A7C" w:rsidRPr="005E5FEB" w:rsidRDefault="002F3A7C" w:rsidP="00896FEC">
      <w:pPr>
        <w:numPr>
          <w:ilvl w:val="0"/>
          <w:numId w:val="22"/>
        </w:numPr>
        <w:jc w:val="both"/>
      </w:pPr>
      <w:r w:rsidRPr="005E5FEB">
        <w:t>it is predominantly derived from that other plant variety; and</w:t>
      </w:r>
    </w:p>
    <w:p w14:paraId="759D41BC" w14:textId="77777777" w:rsidR="002F3A7C" w:rsidRPr="005E5FEB" w:rsidRDefault="002F3A7C" w:rsidP="00896FEC">
      <w:pPr>
        <w:numPr>
          <w:ilvl w:val="0"/>
          <w:numId w:val="22"/>
        </w:numPr>
        <w:jc w:val="both"/>
      </w:pPr>
      <w:r w:rsidRPr="005E5FEB">
        <w:t xml:space="preserve">it retains the </w:t>
      </w:r>
      <w:r w:rsidRPr="007976EC">
        <w:t>essential characteristics</w:t>
      </w:r>
      <w:r w:rsidRPr="005E5FEB">
        <w:t xml:space="preserve"> that result from the genotype or combination of genotypes of that other variety; and</w:t>
      </w:r>
    </w:p>
    <w:p w14:paraId="2CEFBF63" w14:textId="77777777" w:rsidR="002F3A7C" w:rsidRPr="005E5FEB" w:rsidRDefault="002F3A7C" w:rsidP="00896FEC">
      <w:pPr>
        <w:numPr>
          <w:ilvl w:val="0"/>
          <w:numId w:val="22"/>
        </w:numPr>
        <w:jc w:val="both"/>
      </w:pPr>
      <w:r w:rsidRPr="005E5FEB">
        <w:t>it does not exhibit any important (as distinct from cosmetic) features that differentiate it from that other variety.</w:t>
      </w:r>
    </w:p>
    <w:p w14:paraId="110033A3" w14:textId="7E8F2FAA" w:rsidR="00CF1C40" w:rsidRPr="00CF1C40" w:rsidRDefault="00E954BF" w:rsidP="00CF1C40">
      <w:r w:rsidRPr="00821230">
        <w:lastRenderedPageBreak/>
        <w:t>The PBR Act defines "essential characteristics" as</w:t>
      </w:r>
      <w:r w:rsidR="00CF1C40" w:rsidRPr="00E954BF">
        <w:t xml:space="preserve"> </w:t>
      </w:r>
      <w:r w:rsidR="00CF1C40" w:rsidRPr="00CF1C40">
        <w:t xml:space="preserve">heritable traits that </w:t>
      </w:r>
      <w:r w:rsidR="000C7E44">
        <w:t>result from</w:t>
      </w:r>
      <w:r w:rsidR="00CF1C40" w:rsidRPr="00CF1C40">
        <w:t xml:space="preserve"> the expression of one or more genes, or other heritable determinants, that contribute to the principal features, performance or value of the variety.</w:t>
      </w:r>
    </w:p>
    <w:p w14:paraId="3B252795" w14:textId="1E1CD235" w:rsidR="00EB3617" w:rsidRDefault="00EB3617" w:rsidP="002F3A7C">
      <w:pPr>
        <w:jc w:val="both"/>
        <w:rPr>
          <w:bCs/>
        </w:rPr>
      </w:pPr>
      <w:r w:rsidRPr="005E5FEB">
        <w:rPr>
          <w:bCs/>
        </w:rPr>
        <w:t>Section 12</w:t>
      </w:r>
      <w:r>
        <w:rPr>
          <w:bCs/>
        </w:rPr>
        <w:t xml:space="preserve"> of the PBR Act provides</w:t>
      </w:r>
      <w:r w:rsidRPr="005E5FEB">
        <w:rPr>
          <w:bCs/>
        </w:rPr>
        <w:t xml:space="preserve"> that</w:t>
      </w:r>
      <w:r w:rsidR="00E87B64" w:rsidRPr="00E87B64">
        <w:t>, if the Registrar declares</w:t>
      </w:r>
      <w:r w:rsidRPr="005E5FEB">
        <w:rPr>
          <w:bCs/>
        </w:rPr>
        <w:t xml:space="preserve"> a variety </w:t>
      </w:r>
      <w:r w:rsidR="00E87B64" w:rsidRPr="00E87B64">
        <w:t>to be</w:t>
      </w:r>
      <w:r w:rsidRPr="005E5FEB">
        <w:rPr>
          <w:bCs/>
        </w:rPr>
        <w:t xml:space="preserve"> essentially derived from a protected initial variety, the rights granted to the initial variety extend to the EDV from the date of the declaration. </w:t>
      </w:r>
    </w:p>
    <w:p w14:paraId="0BAFB127" w14:textId="583976F3" w:rsidR="00395E23" w:rsidRDefault="00395E23" w:rsidP="00395E23">
      <w:pPr>
        <w:jc w:val="both"/>
      </w:pPr>
      <w:r w:rsidRPr="004004C4">
        <w:t xml:space="preserve">While Australia adopted the EDV concept, the PBR Act </w:t>
      </w:r>
      <w:r>
        <w:t>expands</w:t>
      </w:r>
      <w:r w:rsidRPr="004004C4">
        <w:t xml:space="preserve"> on </w:t>
      </w:r>
      <w:r w:rsidR="00780306">
        <w:t xml:space="preserve">the </w:t>
      </w:r>
      <w:r w:rsidR="0034024E">
        <w:t>UPOV91</w:t>
      </w:r>
      <w:r w:rsidR="00780306">
        <w:t xml:space="preserve"> </w:t>
      </w:r>
      <w:r>
        <w:t xml:space="preserve">definition in </w:t>
      </w:r>
      <w:r w:rsidRPr="004004C4">
        <w:t>three ways</w:t>
      </w:r>
      <w:r>
        <w:t>:</w:t>
      </w:r>
      <w:r w:rsidRPr="004004C4">
        <w:t xml:space="preserve"> </w:t>
      </w:r>
    </w:p>
    <w:p w14:paraId="6E2BD74B" w14:textId="2F953EBE" w:rsidR="00395E23" w:rsidRDefault="0034024E" w:rsidP="00896FEC">
      <w:pPr>
        <w:pStyle w:val="ListParagraph"/>
        <w:numPr>
          <w:ilvl w:val="0"/>
          <w:numId w:val="25"/>
        </w:numPr>
        <w:jc w:val="both"/>
      </w:pPr>
      <w:r>
        <w:t>it</w:t>
      </w:r>
      <w:r w:rsidR="00395E23">
        <w:t xml:space="preserve"> defines </w:t>
      </w:r>
      <w:r w:rsidR="00395E23" w:rsidRPr="004004C4">
        <w:t xml:space="preserve">"essential characteristics". </w:t>
      </w:r>
    </w:p>
    <w:p w14:paraId="22EF45F1" w14:textId="61109F79" w:rsidR="00395E23" w:rsidRDefault="00395E23" w:rsidP="00896FEC">
      <w:pPr>
        <w:pStyle w:val="ListParagraph"/>
        <w:numPr>
          <w:ilvl w:val="0"/>
          <w:numId w:val="25"/>
        </w:numPr>
        <w:jc w:val="both"/>
      </w:pPr>
      <w:r w:rsidRPr="004004C4">
        <w:t>it specifies circumstances in which a variety will not be considered an EDV</w:t>
      </w:r>
      <w:r>
        <w:t xml:space="preserve">, </w:t>
      </w:r>
      <w:r w:rsidRPr="004004C4">
        <w:t>clarifying where the chain of essential derivation ends.</w:t>
      </w:r>
    </w:p>
    <w:p w14:paraId="505B0564" w14:textId="56CD35B9" w:rsidR="00395E23" w:rsidRDefault="00395E23" w:rsidP="00896FEC">
      <w:pPr>
        <w:pStyle w:val="ListParagraph"/>
        <w:numPr>
          <w:ilvl w:val="0"/>
          <w:numId w:val="25"/>
        </w:numPr>
        <w:jc w:val="both"/>
      </w:pPr>
      <w:r w:rsidRPr="004004C4">
        <w:t xml:space="preserve">it </w:t>
      </w:r>
      <w:r w:rsidR="00910496">
        <w:t>gives the PBR Registrar responsibility for administering and determining EDV</w:t>
      </w:r>
      <w:r w:rsidRPr="004004C4">
        <w:t xml:space="preserve"> matters. </w:t>
      </w:r>
    </w:p>
    <w:p w14:paraId="5DACA110" w14:textId="13616CF7" w:rsidR="009E0738" w:rsidRPr="00395E23" w:rsidRDefault="00395E23" w:rsidP="002F3A7C">
      <w:pPr>
        <w:jc w:val="both"/>
      </w:pPr>
      <w:r w:rsidRPr="004004C4">
        <w:t xml:space="preserve">These additions </w:t>
      </w:r>
      <w:r w:rsidR="00DF28AD" w:rsidRPr="00DF28AD">
        <w:t>aimed</w:t>
      </w:r>
      <w:r w:rsidRPr="004004C4">
        <w:t xml:space="preserve"> to provide greater certainty and </w:t>
      </w:r>
      <w:r w:rsidR="00910496">
        <w:t xml:space="preserve">establish </w:t>
      </w:r>
      <w:r w:rsidRPr="004004C4">
        <w:t xml:space="preserve">a clearer threshold for determining essential derivation. </w:t>
      </w:r>
      <w:r w:rsidR="00BE1F76" w:rsidRPr="00395E23">
        <w:t>UPOV</w:t>
      </w:r>
      <w:r w:rsidR="00DF28AD" w:rsidRPr="00DF28AD">
        <w:t xml:space="preserve"> membership</w:t>
      </w:r>
      <w:r w:rsidRPr="00395E23">
        <w:t xml:space="preserve"> obliges Australia to meet minimum requirements but does not set upper limits, provided </w:t>
      </w:r>
      <w:r w:rsidR="00DF28AD" w:rsidRPr="00DF28AD">
        <w:t>Australia remains consistent</w:t>
      </w:r>
      <w:r w:rsidRPr="00395E23">
        <w:t xml:space="preserve"> with the minimum </w:t>
      </w:r>
      <w:r w:rsidR="004C1621" w:rsidRPr="00395E23">
        <w:t>requirements</w:t>
      </w:r>
      <w:r w:rsidR="00BE1F76">
        <w:t>.</w:t>
      </w:r>
      <w:r>
        <w:t xml:space="preserve"> </w:t>
      </w:r>
    </w:p>
    <w:p w14:paraId="02250E1F" w14:textId="373ECD85" w:rsidR="00054A3F" w:rsidRDefault="002F3A7C" w:rsidP="002F3A7C">
      <w:pPr>
        <w:jc w:val="both"/>
      </w:pPr>
      <w:r w:rsidRPr="5A98F03B">
        <w:t xml:space="preserve">Since the introduction of the EDV provisions in 1994, IP Australia </w:t>
      </w:r>
      <w:r>
        <w:t>has received three applications for essential derivation, all of which were</w:t>
      </w:r>
      <w:r w:rsidR="00395E23">
        <w:t xml:space="preserve"> unsuccessful</w:t>
      </w:r>
      <w:r w:rsidR="00A17B3A">
        <w:t>.</w:t>
      </w:r>
      <w:r w:rsidRPr="5A98F03B">
        <w:rPr>
          <w:vertAlign w:val="superscript"/>
        </w:rPr>
        <w:footnoteReference w:id="8"/>
      </w:r>
    </w:p>
    <w:p w14:paraId="572CE8F2" w14:textId="41E16DB6" w:rsidR="002F3A7C" w:rsidRDefault="004853FB" w:rsidP="002F3A7C">
      <w:pPr>
        <w:pStyle w:val="Heading2"/>
      </w:pPr>
      <w:r>
        <w:t>Issues for discussion</w:t>
      </w:r>
    </w:p>
    <w:p w14:paraId="4D308DA1" w14:textId="0EB20D84" w:rsidR="005B41ED" w:rsidRDefault="001C77A1" w:rsidP="005E75B1">
      <w:pPr>
        <w:tabs>
          <w:tab w:val="left" w:pos="6237"/>
        </w:tabs>
      </w:pPr>
      <w:r w:rsidRPr="001C77A1">
        <w:t>Stakeholders</w:t>
      </w:r>
      <w:r w:rsidR="005B41ED" w:rsidRPr="005E75B1">
        <w:t xml:space="preserve"> have </w:t>
      </w:r>
      <w:r w:rsidRPr="001C77A1">
        <w:t>long raised</w:t>
      </w:r>
      <w:r w:rsidR="005B41ED" w:rsidRPr="005E75B1">
        <w:t xml:space="preserve"> concerns that aspects of the Australian definition of EDVs are unclear and that the current threshold for establishing essential derivation may be too high.</w:t>
      </w:r>
      <w:r w:rsidR="005B41ED">
        <w:t xml:space="preserve"> This paper considers these issues under three themes:</w:t>
      </w:r>
    </w:p>
    <w:p w14:paraId="3ED5E244" w14:textId="3C55C141" w:rsidR="004575A8" w:rsidRPr="004575A8" w:rsidRDefault="004575A8" w:rsidP="00896FEC">
      <w:pPr>
        <w:pStyle w:val="ListParagraph"/>
        <w:numPr>
          <w:ilvl w:val="0"/>
          <w:numId w:val="25"/>
        </w:numPr>
        <w:jc w:val="both"/>
      </w:pPr>
      <w:r w:rsidRPr="004575A8">
        <w:t xml:space="preserve">clarity of the EDV provisions; </w:t>
      </w:r>
    </w:p>
    <w:p w14:paraId="2E561436" w14:textId="283971BD" w:rsidR="004575A8" w:rsidRPr="004575A8" w:rsidRDefault="004575A8" w:rsidP="00896FEC">
      <w:pPr>
        <w:pStyle w:val="ListParagraph"/>
        <w:numPr>
          <w:ilvl w:val="0"/>
          <w:numId w:val="25"/>
        </w:numPr>
        <w:jc w:val="both"/>
      </w:pPr>
      <w:r w:rsidRPr="004575A8">
        <w:t xml:space="preserve">the appropriate threshold for establishing essential derivation; and </w:t>
      </w:r>
    </w:p>
    <w:p w14:paraId="3752165D" w14:textId="49265BDB" w:rsidR="004575A8" w:rsidRDefault="004575A8" w:rsidP="00896FEC">
      <w:pPr>
        <w:pStyle w:val="ListParagraph"/>
        <w:numPr>
          <w:ilvl w:val="0"/>
          <w:numId w:val="25"/>
        </w:numPr>
        <w:jc w:val="both"/>
      </w:pPr>
      <w:r w:rsidRPr="004575A8">
        <w:t>potential improvements to the administration and determination of EDV matters.</w:t>
      </w:r>
    </w:p>
    <w:p w14:paraId="04F09158" w14:textId="77777777" w:rsidR="009E6034" w:rsidRDefault="000E4522">
      <w:pPr>
        <w:spacing w:after="0" w:line="300" w:lineRule="atLeast"/>
      </w:pPr>
      <w:r w:rsidRPr="000E4522">
        <w:t>These</w:t>
      </w:r>
      <w:r w:rsidR="007009CA" w:rsidRPr="00475F92">
        <w:t xml:space="preserve"> issues </w:t>
      </w:r>
      <w:r w:rsidRPr="000E4522">
        <w:t>are connected, but</w:t>
      </w:r>
      <w:r w:rsidR="007009CA" w:rsidRPr="00CF1705">
        <w:t xml:space="preserve"> this paper considers them</w:t>
      </w:r>
      <w:r w:rsidR="007009CA" w:rsidRPr="00475F92">
        <w:t xml:space="preserve"> separately </w:t>
      </w:r>
      <w:r w:rsidRPr="000E4522">
        <w:t>to support</w:t>
      </w:r>
      <w:r w:rsidR="007009CA" w:rsidRPr="00475F92">
        <w:t xml:space="preserve"> discussion</w:t>
      </w:r>
      <w:r w:rsidRPr="000E4522">
        <w:t>.</w:t>
      </w:r>
      <w:r w:rsidR="007009CA" w:rsidRPr="00475F92">
        <w:t xml:space="preserve"> The following sections </w:t>
      </w:r>
      <w:r w:rsidRPr="000E4522">
        <w:t>ask stakeholders to provide</w:t>
      </w:r>
      <w:r w:rsidR="007009CA" w:rsidRPr="00475F92">
        <w:t xml:space="preserve"> evidence, examples and views on whether reform is </w:t>
      </w:r>
      <w:r w:rsidRPr="000E4522">
        <w:t>needed</w:t>
      </w:r>
      <w:r w:rsidR="007009CA" w:rsidRPr="00475F92">
        <w:t xml:space="preserve"> and, if so, what changes </w:t>
      </w:r>
      <w:r w:rsidR="007009CA" w:rsidRPr="00CF1705">
        <w:t xml:space="preserve">IP Australia </w:t>
      </w:r>
      <w:r w:rsidR="007009CA" w:rsidRPr="00475F92">
        <w:t xml:space="preserve">should </w:t>
      </w:r>
      <w:r w:rsidR="007009CA" w:rsidRPr="00CF1705">
        <w:t>consider</w:t>
      </w:r>
      <w:r w:rsidR="007009CA" w:rsidRPr="00475F92">
        <w:t>.</w:t>
      </w:r>
    </w:p>
    <w:p w14:paraId="00E70850" w14:textId="77777777" w:rsidR="00074500" w:rsidRPr="00897BD7" w:rsidRDefault="00074500" w:rsidP="005E75B1">
      <w:pPr>
        <w:tabs>
          <w:tab w:val="left" w:pos="6237"/>
        </w:tabs>
        <w:adjustRightInd/>
        <w:snapToGrid/>
        <w:spacing w:after="0" w:line="300" w:lineRule="atLeast"/>
      </w:pPr>
    </w:p>
    <w:p w14:paraId="2B805608" w14:textId="1D2F2FD2" w:rsidR="00273342" w:rsidRDefault="0094536F" w:rsidP="008C040B">
      <w:pPr>
        <w:pStyle w:val="Heading4"/>
        <w:jc w:val="both"/>
        <w:rPr>
          <w:rFonts w:asciiTheme="majorHAnsi" w:hAnsiTheme="majorHAnsi"/>
          <w:b w:val="0"/>
          <w:sz w:val="30"/>
        </w:rPr>
      </w:pPr>
      <w:r w:rsidRPr="00B43E73">
        <w:rPr>
          <w:rFonts w:asciiTheme="majorHAnsi" w:hAnsiTheme="majorHAnsi"/>
          <w:b w:val="0"/>
          <w:sz w:val="30"/>
        </w:rPr>
        <w:t>Concerns that the EDV provisions are unclear</w:t>
      </w:r>
    </w:p>
    <w:p w14:paraId="7B074BDD" w14:textId="009D1D11" w:rsidR="00273342" w:rsidRPr="007976EC" w:rsidRDefault="007A2BC4" w:rsidP="007976EC">
      <w:pPr>
        <w:jc w:val="both"/>
        <w:rPr>
          <w:u w:val="single"/>
        </w:rPr>
      </w:pPr>
      <w:r w:rsidRPr="007A2BC4">
        <w:rPr>
          <w:u w:val="single"/>
        </w:rPr>
        <w:t>Meaning of</w:t>
      </w:r>
      <w:r w:rsidRPr="007976EC">
        <w:rPr>
          <w:bCs/>
          <w:u w:val="single"/>
        </w:rPr>
        <w:t xml:space="preserve"> “important (as distinct from cosmetic) features”</w:t>
      </w:r>
    </w:p>
    <w:p w14:paraId="62538B74" w14:textId="268C1660" w:rsidR="00EB3617" w:rsidRPr="00D93831" w:rsidRDefault="00C8666F" w:rsidP="000F1669">
      <w:pPr>
        <w:jc w:val="both"/>
      </w:pPr>
      <w:r w:rsidRPr="00C8666F">
        <w:t>Stakeholders</w:t>
      </w:r>
      <w:r w:rsidR="00EB3617">
        <w:t xml:space="preserve"> have </w:t>
      </w:r>
      <w:r w:rsidRPr="00C8666F">
        <w:t>raised</w:t>
      </w:r>
      <w:r w:rsidR="00EB3617">
        <w:t xml:space="preserve"> concerns about the</w:t>
      </w:r>
      <w:r w:rsidR="00EB3617" w:rsidRPr="00C630D5">
        <w:t xml:space="preserve"> requirement in section 4(c) </w:t>
      </w:r>
      <w:r w:rsidR="00EB3617">
        <w:t xml:space="preserve">of the PBR Act </w:t>
      </w:r>
      <w:r w:rsidR="00EB3617" w:rsidRPr="00C630D5">
        <w:t>that an EDV must not exhibit “any important (as distinct from cosmetic) features” that differentiate it from the initial variety. The</w:t>
      </w:r>
      <w:r w:rsidR="00FF6DD6">
        <w:t xml:space="preserve"> term “important features” is not defined in the</w:t>
      </w:r>
      <w:r w:rsidR="00EB3617" w:rsidRPr="00C630D5">
        <w:t xml:space="preserve"> </w:t>
      </w:r>
      <w:r w:rsidRPr="00C8666F">
        <w:t xml:space="preserve">PBR Act </w:t>
      </w:r>
      <w:r w:rsidR="00FF6DD6">
        <w:t>and is unique to Australia</w:t>
      </w:r>
      <w:r w:rsidRPr="00C8666F">
        <w:t>.</w:t>
      </w:r>
    </w:p>
    <w:p w14:paraId="1C58DF5A" w14:textId="58F3ED13" w:rsidR="00B14B84" w:rsidRPr="005E5FEB" w:rsidRDefault="00B14B84" w:rsidP="00B14B84">
      <w:pPr>
        <w:jc w:val="both"/>
        <w:rPr>
          <w:bCs/>
          <w:i/>
          <w:iCs/>
        </w:rPr>
      </w:pPr>
      <w:r w:rsidRPr="005E5FEB">
        <w:rPr>
          <w:bCs/>
          <w:i/>
          <w:iCs/>
        </w:rPr>
        <w:t>Consultation questions</w:t>
      </w:r>
    </w:p>
    <w:p w14:paraId="2AB158E0" w14:textId="43A57843" w:rsidR="00273342" w:rsidRDefault="0094536F" w:rsidP="00896FEC">
      <w:pPr>
        <w:pStyle w:val="ListParagraph"/>
        <w:numPr>
          <w:ilvl w:val="0"/>
          <w:numId w:val="24"/>
        </w:numPr>
        <w:adjustRightInd/>
        <w:rPr>
          <w:color w:val="000000"/>
          <w:kern w:val="2"/>
          <w:szCs w:val="22"/>
          <w:lang w:eastAsia="en-AU"/>
          <w14:ligatures w14:val="standardContextual"/>
        </w:rPr>
      </w:pPr>
      <w:r w:rsidRPr="003C0208">
        <w:rPr>
          <w:bCs/>
          <w:i/>
          <w:iCs/>
        </w:rPr>
        <w:t xml:space="preserve">Do you </w:t>
      </w:r>
      <w:r>
        <w:rPr>
          <w:bCs/>
          <w:i/>
          <w:iCs/>
        </w:rPr>
        <w:t xml:space="preserve">agree </w:t>
      </w:r>
      <w:r w:rsidR="00450A01">
        <w:rPr>
          <w:i/>
          <w:iCs/>
        </w:rPr>
        <w:t>that</w:t>
      </w:r>
      <w:r w:rsidR="0086507F" w:rsidRPr="003C0208">
        <w:rPr>
          <w:bCs/>
          <w:i/>
          <w:iCs/>
        </w:rPr>
        <w:t xml:space="preserve"> </w:t>
      </w:r>
      <w:r w:rsidRPr="003C0208">
        <w:rPr>
          <w:bCs/>
          <w:i/>
          <w:iCs/>
        </w:rPr>
        <w:t>the term "important features</w:t>
      </w:r>
      <w:r w:rsidR="00450A01">
        <w:rPr>
          <w:i/>
          <w:iCs/>
        </w:rPr>
        <w:t>" causes confusion?</w:t>
      </w:r>
      <w:r>
        <w:rPr>
          <w:bCs/>
          <w:i/>
          <w:iCs/>
        </w:rPr>
        <w:t xml:space="preserve"> </w:t>
      </w:r>
      <w:r w:rsidR="00C46333">
        <w:rPr>
          <w:bCs/>
          <w:i/>
          <w:iCs/>
        </w:rPr>
        <w:t xml:space="preserve">If so, </w:t>
      </w:r>
      <w:r w:rsidR="00304337">
        <w:rPr>
          <w:bCs/>
          <w:i/>
          <w:iCs/>
        </w:rPr>
        <w:t>why?</w:t>
      </w:r>
    </w:p>
    <w:p w14:paraId="02C9D613" w14:textId="77777777" w:rsidR="00273342" w:rsidRDefault="0094536F" w:rsidP="00896FEC">
      <w:pPr>
        <w:pStyle w:val="ListParagraph"/>
        <w:numPr>
          <w:ilvl w:val="0"/>
          <w:numId w:val="24"/>
        </w:numPr>
        <w:adjustRightInd/>
      </w:pPr>
      <w:r>
        <w:rPr>
          <w:bCs/>
          <w:i/>
          <w:iCs/>
        </w:rPr>
        <w:t xml:space="preserve">How would you define features </w:t>
      </w:r>
      <w:r w:rsidR="00C47C2C">
        <w:rPr>
          <w:bCs/>
          <w:i/>
          <w:iCs/>
        </w:rPr>
        <w:t xml:space="preserve">that </w:t>
      </w:r>
      <w:r>
        <w:rPr>
          <w:bCs/>
          <w:i/>
          <w:iCs/>
        </w:rPr>
        <w:t>are important to a variety?</w:t>
      </w:r>
      <w:r w:rsidR="00BC1FEC" w:rsidRPr="00BC1FEC">
        <w:rPr>
          <w:i/>
          <w:iCs/>
        </w:rPr>
        <w:t xml:space="preserve"> Please provide practical examples.</w:t>
      </w:r>
    </w:p>
    <w:p w14:paraId="2CDE217A" w14:textId="6971FB5E" w:rsidR="00273342" w:rsidRPr="007976EC" w:rsidRDefault="00E61DEF" w:rsidP="002F3A7C">
      <w:pPr>
        <w:jc w:val="both"/>
        <w:rPr>
          <w:bCs/>
          <w:u w:val="single"/>
        </w:rPr>
      </w:pPr>
      <w:r>
        <w:rPr>
          <w:bCs/>
          <w:u w:val="single"/>
        </w:rPr>
        <w:lastRenderedPageBreak/>
        <w:t>D</w:t>
      </w:r>
      <w:r w:rsidR="0094536F">
        <w:rPr>
          <w:bCs/>
          <w:u w:val="single"/>
        </w:rPr>
        <w:t xml:space="preserve">efinition of </w:t>
      </w:r>
      <w:r>
        <w:rPr>
          <w:bCs/>
          <w:u w:val="single"/>
        </w:rPr>
        <w:t>“</w:t>
      </w:r>
      <w:r w:rsidR="0094536F">
        <w:rPr>
          <w:bCs/>
          <w:u w:val="single"/>
        </w:rPr>
        <w:t>essential characteristics</w:t>
      </w:r>
      <w:r>
        <w:rPr>
          <w:bCs/>
          <w:u w:val="single"/>
        </w:rPr>
        <w:t>”</w:t>
      </w:r>
      <w:r w:rsidR="00453CE9" w:rsidRPr="00453CE9">
        <w:rPr>
          <w:u w:val="single"/>
        </w:rPr>
        <w:t xml:space="preserve"> </w:t>
      </w:r>
    </w:p>
    <w:p w14:paraId="5FCF2D50" w14:textId="495712C9" w:rsidR="003D314B" w:rsidRDefault="003D314B" w:rsidP="003D314B">
      <w:pPr>
        <w:jc w:val="both"/>
        <w:rPr>
          <w:bCs/>
        </w:rPr>
      </w:pPr>
      <w:r w:rsidRPr="003D314B">
        <w:rPr>
          <w:bCs/>
        </w:rPr>
        <w:t>The PBR Act defines essential characteristics as</w:t>
      </w:r>
      <w:r>
        <w:rPr>
          <w:bCs/>
        </w:rPr>
        <w:t>:</w:t>
      </w:r>
    </w:p>
    <w:p w14:paraId="1F9BEE75" w14:textId="77777777" w:rsidR="003D314B" w:rsidRDefault="003D314B" w:rsidP="007976EC">
      <w:pPr>
        <w:ind w:left="720"/>
        <w:jc w:val="both"/>
        <w:rPr>
          <w:bCs/>
        </w:rPr>
      </w:pPr>
      <w:r w:rsidRPr="003D314B">
        <w:rPr>
          <w:bCs/>
        </w:rPr>
        <w:t>“</w:t>
      </w:r>
      <w:proofErr w:type="gramStart"/>
      <w:r w:rsidRPr="003D314B">
        <w:rPr>
          <w:bCs/>
        </w:rPr>
        <w:t>heritable</w:t>
      </w:r>
      <w:proofErr w:type="gramEnd"/>
      <w:r w:rsidRPr="003D314B">
        <w:rPr>
          <w:bCs/>
        </w:rPr>
        <w:t xml:space="preserve"> traits that are determined by the expression of one or more genes, or other heritable determinants, that contribute to the principal features, performance or value of the variety.” </w:t>
      </w:r>
    </w:p>
    <w:p w14:paraId="5AD35A92" w14:textId="527230AE" w:rsidR="000135B8" w:rsidRDefault="00EC6219" w:rsidP="00DC46E4">
      <w:pPr>
        <w:jc w:val="both"/>
        <w:rPr>
          <w:bCs/>
        </w:rPr>
      </w:pPr>
      <w:r w:rsidRPr="00EC6219">
        <w:t xml:space="preserve">The UPOV Convention does not define essential characteristics, and many UPOV members </w:t>
      </w:r>
      <w:r w:rsidR="00111017">
        <w:t>do</w:t>
      </w:r>
      <w:r w:rsidRPr="00EC6219">
        <w:t xml:space="preserve"> not </w:t>
      </w:r>
      <w:r w:rsidR="00111017">
        <w:t>define</w:t>
      </w:r>
      <w:r w:rsidRPr="00EC6219">
        <w:t xml:space="preserve"> the term in domestic legislation. </w:t>
      </w:r>
      <w:r w:rsidR="003655C3" w:rsidRPr="003655C3">
        <w:t>International</w:t>
      </w:r>
      <w:r w:rsidR="00F46125" w:rsidRPr="00F46125">
        <w:t xml:space="preserve"> case law </w:t>
      </w:r>
      <w:r w:rsidR="003655C3" w:rsidRPr="003655C3">
        <w:t>provides limited guidance on</w:t>
      </w:r>
      <w:r w:rsidR="00F46125" w:rsidRPr="00F46125">
        <w:t xml:space="preserve"> what constitutes an essential characteristic.</w:t>
      </w:r>
      <w:r w:rsidR="00F46125">
        <w:rPr>
          <w:rStyle w:val="FootnoteReference"/>
        </w:rPr>
        <w:footnoteReference w:id="9"/>
      </w:r>
      <w:r w:rsidR="00F46125">
        <w:t xml:space="preserve"> </w:t>
      </w:r>
    </w:p>
    <w:p w14:paraId="30FBD917" w14:textId="2BA6123A" w:rsidR="00273342" w:rsidRDefault="00B644F3" w:rsidP="007155B8">
      <w:pPr>
        <w:rPr>
          <w:color w:val="000000"/>
          <w:kern w:val="2"/>
          <w:szCs w:val="22"/>
          <w:lang w:eastAsia="en-AU"/>
          <w14:ligatures w14:val="standardContextual"/>
        </w:rPr>
      </w:pPr>
      <w:r w:rsidRPr="00B644F3">
        <w:t xml:space="preserve">The UPOV Explanatory Notes on EDVs provide </w:t>
      </w:r>
      <w:r w:rsidR="00382766" w:rsidRPr="00382766">
        <w:t xml:space="preserve">guidance </w:t>
      </w:r>
      <w:r w:rsidRPr="00B644F3">
        <w:t xml:space="preserve">developed </w:t>
      </w:r>
      <w:r w:rsidR="00382766" w:rsidRPr="00382766">
        <w:t xml:space="preserve">and agreed by </w:t>
      </w:r>
      <w:r w:rsidRPr="00B644F3">
        <w:t xml:space="preserve">UPOV members </w:t>
      </w:r>
      <w:r w:rsidR="00382766" w:rsidRPr="00382766">
        <w:t xml:space="preserve">on how </w:t>
      </w:r>
      <w:r w:rsidRPr="00B644F3">
        <w:t>the Convention</w:t>
      </w:r>
      <w:r w:rsidR="00382766" w:rsidRPr="00382766">
        <w:t xml:space="preserve"> should be understood and applied. The</w:t>
      </w:r>
      <w:r w:rsidR="00521F5C">
        <w:t xml:space="preserve"> Notes</w:t>
      </w:r>
      <w:r w:rsidRPr="00B644F3">
        <w:t xml:space="preserve"> describe essential characteristics as follows:</w:t>
      </w:r>
    </w:p>
    <w:p w14:paraId="3429AA13" w14:textId="7D0D9E8A" w:rsidR="00702E15" w:rsidRPr="00702E15" w:rsidRDefault="00702E15" w:rsidP="007976EC">
      <w:pPr>
        <w:ind w:left="720"/>
        <w:jc w:val="both"/>
        <w:rPr>
          <w:bCs/>
        </w:rPr>
      </w:pPr>
      <w:r>
        <w:rPr>
          <w:bCs/>
        </w:rPr>
        <w:t>“</w:t>
      </w:r>
      <w:r w:rsidRPr="00702E15">
        <w:rPr>
          <w:bCs/>
        </w:rPr>
        <w:t xml:space="preserve">Essential characteristics are characteristics that result from the expression of the genotype or combination of genotypes of the initial variety and include, but are not limited to, morphological, physiological, agronomic, industrial (e.g. oil characteristics) and/or biochemical characteristics.  </w:t>
      </w:r>
    </w:p>
    <w:p w14:paraId="6F539CAA" w14:textId="5460BFEF" w:rsidR="00702E15" w:rsidRPr="00702E15" w:rsidRDefault="00702E15" w:rsidP="007976EC">
      <w:pPr>
        <w:ind w:left="720"/>
        <w:jc w:val="both"/>
        <w:rPr>
          <w:bCs/>
        </w:rPr>
      </w:pPr>
      <w:r w:rsidRPr="00702E15">
        <w:rPr>
          <w:bCs/>
        </w:rPr>
        <w:t xml:space="preserve">“Essential characteristics” are characteristics that are fundamental for a </w:t>
      </w:r>
      <w:proofErr w:type="gramStart"/>
      <w:r w:rsidRPr="00702E15">
        <w:rPr>
          <w:bCs/>
        </w:rPr>
        <w:t>variety as a whole</w:t>
      </w:r>
      <w:proofErr w:type="gramEnd"/>
      <w:r w:rsidRPr="00702E15">
        <w:rPr>
          <w:bCs/>
        </w:rPr>
        <w:t>.  They should</w:t>
      </w:r>
      <w:r>
        <w:rPr>
          <w:bCs/>
        </w:rPr>
        <w:t xml:space="preserve"> </w:t>
      </w:r>
      <w:r w:rsidRPr="00702E15">
        <w:rPr>
          <w:bCs/>
        </w:rPr>
        <w:t xml:space="preserve">contribute to the principal features, performance or value for use of a variety and be relevant for one of the following:  the producer, seller, supplier, buyer, recipient, user of the propagating material and/or of the harvested material and/or of the directly obtained products and/or the value chain. </w:t>
      </w:r>
    </w:p>
    <w:p w14:paraId="15E141BF" w14:textId="5678C1D6" w:rsidR="00702E15" w:rsidRPr="00702E15" w:rsidRDefault="00702E15" w:rsidP="007976EC">
      <w:pPr>
        <w:ind w:left="720"/>
        <w:jc w:val="both"/>
        <w:rPr>
          <w:bCs/>
        </w:rPr>
      </w:pPr>
      <w:r w:rsidRPr="00702E15">
        <w:rPr>
          <w:bCs/>
        </w:rPr>
        <w:t xml:space="preserve">Essential characteristics may or may not be characteristics used for the examination of distinctness, uniformity or stability (DUS) and/or used for the examination of value for cultivation and use (VCU).  </w:t>
      </w:r>
    </w:p>
    <w:p w14:paraId="219BB1A9" w14:textId="3C1BBA8C" w:rsidR="00702E15" w:rsidRDefault="00702E15" w:rsidP="007976EC">
      <w:pPr>
        <w:ind w:left="720"/>
        <w:jc w:val="both"/>
        <w:rPr>
          <w:bCs/>
        </w:rPr>
      </w:pPr>
      <w:r w:rsidRPr="00702E15">
        <w:rPr>
          <w:bCs/>
        </w:rPr>
        <w:t>Essential characteristics may evolve over time.</w:t>
      </w:r>
      <w:r>
        <w:rPr>
          <w:bCs/>
        </w:rPr>
        <w:t>”</w:t>
      </w:r>
    </w:p>
    <w:p w14:paraId="3640124A" w14:textId="77777777" w:rsidR="002F3A7C" w:rsidRPr="005E5FEB" w:rsidRDefault="002F3A7C" w:rsidP="002F3A7C">
      <w:pPr>
        <w:jc w:val="both"/>
        <w:rPr>
          <w:bCs/>
          <w:i/>
          <w:iCs/>
        </w:rPr>
      </w:pPr>
      <w:r w:rsidRPr="005E5FEB">
        <w:rPr>
          <w:bCs/>
          <w:i/>
          <w:iCs/>
        </w:rPr>
        <w:t>Consultation questions</w:t>
      </w:r>
    </w:p>
    <w:p w14:paraId="6A7EDC54" w14:textId="4D8E8D96" w:rsidR="00CF687E" w:rsidRPr="00B644F3" w:rsidRDefault="00FA4AA0" w:rsidP="00896FEC">
      <w:pPr>
        <w:pStyle w:val="ListParagraph"/>
        <w:numPr>
          <w:ilvl w:val="0"/>
          <w:numId w:val="24"/>
        </w:numPr>
        <w:rPr>
          <w:color w:val="000000"/>
          <w:kern w:val="2"/>
          <w:szCs w:val="22"/>
          <w:lang w:eastAsia="en-AU"/>
          <w14:ligatures w14:val="standardContextual"/>
        </w:rPr>
      </w:pPr>
      <w:r w:rsidRPr="00FA4AA0">
        <w:rPr>
          <w:i/>
          <w:iCs/>
          <w:color w:val="auto"/>
        </w:rPr>
        <w:t>Should IP Australia clarify</w:t>
      </w:r>
      <w:r w:rsidRPr="004C5452">
        <w:rPr>
          <w:i/>
          <w:iCs/>
        </w:rPr>
        <w:t xml:space="preserve"> the current definition of essential characteristics</w:t>
      </w:r>
      <w:r>
        <w:rPr>
          <w:i/>
          <w:iCs/>
        </w:rPr>
        <w:t xml:space="preserve"> in the PBR Act</w:t>
      </w:r>
      <w:r w:rsidRPr="00FA4AA0">
        <w:rPr>
          <w:i/>
          <w:iCs/>
          <w:color w:val="auto"/>
        </w:rPr>
        <w:t>?</w:t>
      </w:r>
      <w:r w:rsidRPr="004C5452">
        <w:rPr>
          <w:i/>
          <w:iCs/>
        </w:rPr>
        <w:t xml:space="preserve"> If so, should </w:t>
      </w:r>
      <w:r w:rsidRPr="00FA4AA0">
        <w:rPr>
          <w:i/>
          <w:iCs/>
          <w:color w:val="auto"/>
        </w:rPr>
        <w:t>IP Australia retain, amend</w:t>
      </w:r>
      <w:r w:rsidRPr="004709A4">
        <w:rPr>
          <w:i/>
          <w:color w:val="auto"/>
        </w:rPr>
        <w:t xml:space="preserve"> or </w:t>
      </w:r>
      <w:r w:rsidRPr="00FA4AA0">
        <w:rPr>
          <w:i/>
          <w:iCs/>
          <w:color w:val="auto"/>
        </w:rPr>
        <w:t>supplement it with</w:t>
      </w:r>
      <w:r w:rsidRPr="004709A4">
        <w:rPr>
          <w:i/>
          <w:color w:val="auto"/>
        </w:rPr>
        <w:t xml:space="preserve"> guidance, and why?</w:t>
      </w:r>
    </w:p>
    <w:p w14:paraId="79D1AA12" w14:textId="4EF16E68" w:rsidR="00CF687E" w:rsidRPr="00FB4C82" w:rsidRDefault="0086507F" w:rsidP="00896FEC">
      <w:pPr>
        <w:pStyle w:val="ListParagraph"/>
        <w:numPr>
          <w:ilvl w:val="0"/>
          <w:numId w:val="24"/>
        </w:numPr>
        <w:rPr>
          <w:color w:val="000000"/>
          <w:kern w:val="2"/>
          <w:szCs w:val="22"/>
          <w:lang w:eastAsia="en-AU"/>
          <w14:ligatures w14:val="standardContextual"/>
        </w:rPr>
      </w:pPr>
      <w:r>
        <w:rPr>
          <w:i/>
          <w:iCs/>
        </w:rPr>
        <w:t>Should</w:t>
      </w:r>
      <w:r w:rsidR="00377C10" w:rsidRPr="00377C10">
        <w:rPr>
          <w:i/>
          <w:iCs/>
        </w:rPr>
        <w:t xml:space="preserve"> IP Australia incorporate</w:t>
      </w:r>
      <w:r>
        <w:rPr>
          <w:i/>
          <w:iCs/>
        </w:rPr>
        <w:t xml:space="preserve"> the description of essential characteristics in the UPOV Explanatory Notes into the PBR Act or explanatory material to the Act</w:t>
      </w:r>
      <w:r w:rsidR="00377C10" w:rsidRPr="00377C10">
        <w:rPr>
          <w:i/>
          <w:iCs/>
        </w:rPr>
        <w:t>?</w:t>
      </w:r>
      <w:r>
        <w:rPr>
          <w:i/>
          <w:iCs/>
        </w:rPr>
        <w:t xml:space="preserve"> If you favour this approach, should </w:t>
      </w:r>
      <w:r w:rsidR="00377C10" w:rsidRPr="00377C10">
        <w:rPr>
          <w:i/>
          <w:iCs/>
        </w:rPr>
        <w:t xml:space="preserve">IP Australia incorporate </w:t>
      </w:r>
      <w:r>
        <w:rPr>
          <w:i/>
          <w:iCs/>
        </w:rPr>
        <w:t>the description in full or only in part? Please explain why.</w:t>
      </w:r>
    </w:p>
    <w:p w14:paraId="307345A5" w14:textId="6E4644F2" w:rsidR="00273342" w:rsidRPr="00B9303F" w:rsidRDefault="0042243F" w:rsidP="001B68CB">
      <w:pPr>
        <w:jc w:val="both"/>
        <w:rPr>
          <w:bCs/>
          <w:u w:val="single"/>
        </w:rPr>
      </w:pPr>
      <w:r w:rsidRPr="0042243F">
        <w:rPr>
          <w:u w:val="single"/>
        </w:rPr>
        <w:t>Relationship between</w:t>
      </w:r>
      <w:r>
        <w:rPr>
          <w:bCs/>
          <w:u w:val="single"/>
        </w:rPr>
        <w:t xml:space="preserve"> </w:t>
      </w:r>
      <w:r w:rsidR="009F3965">
        <w:rPr>
          <w:bCs/>
          <w:u w:val="single"/>
        </w:rPr>
        <w:t>“</w:t>
      </w:r>
      <w:r>
        <w:rPr>
          <w:bCs/>
          <w:u w:val="single"/>
        </w:rPr>
        <w:t>important features</w:t>
      </w:r>
      <w:r w:rsidR="009F3965">
        <w:rPr>
          <w:bCs/>
          <w:u w:val="single"/>
        </w:rPr>
        <w:t>”</w:t>
      </w:r>
      <w:r>
        <w:rPr>
          <w:bCs/>
          <w:u w:val="single"/>
        </w:rPr>
        <w:t xml:space="preserve"> </w:t>
      </w:r>
      <w:r w:rsidRPr="0042243F">
        <w:rPr>
          <w:u w:val="single"/>
        </w:rPr>
        <w:t>and</w:t>
      </w:r>
      <w:r>
        <w:rPr>
          <w:bCs/>
          <w:u w:val="single"/>
        </w:rPr>
        <w:t xml:space="preserve"> </w:t>
      </w:r>
      <w:r w:rsidR="009F3965">
        <w:rPr>
          <w:bCs/>
          <w:u w:val="single"/>
        </w:rPr>
        <w:t>“</w:t>
      </w:r>
      <w:r>
        <w:rPr>
          <w:bCs/>
          <w:u w:val="single"/>
        </w:rPr>
        <w:t>essential characteristics</w:t>
      </w:r>
      <w:r w:rsidR="009F3965">
        <w:rPr>
          <w:bCs/>
          <w:u w:val="single"/>
        </w:rPr>
        <w:t>”</w:t>
      </w:r>
    </w:p>
    <w:p w14:paraId="4DB3132D" w14:textId="5647A25A" w:rsidR="001B68CB" w:rsidRPr="002F487B" w:rsidRDefault="004C5452" w:rsidP="009E4FFA">
      <w:pPr>
        <w:jc w:val="both"/>
        <w:rPr>
          <w:color w:val="000000"/>
          <w:kern w:val="2"/>
          <w:szCs w:val="22"/>
          <w:lang w:eastAsia="en-AU"/>
          <w14:ligatures w14:val="standardContextual"/>
        </w:rPr>
      </w:pPr>
      <w:r>
        <w:t xml:space="preserve">IP Australia has heard that </w:t>
      </w:r>
      <w:r w:rsidR="002B6323" w:rsidRPr="002B6323">
        <w:t>stakeholders are uncertain</w:t>
      </w:r>
      <w:r w:rsidR="00BA41AF" w:rsidRPr="00BA41AF">
        <w:t xml:space="preserve"> whether “important features” in section 4(c) </w:t>
      </w:r>
      <w:r w:rsidR="00C52D56">
        <w:t xml:space="preserve">of the PBR Act </w:t>
      </w:r>
      <w:r w:rsidR="00BA41AF" w:rsidRPr="00BA41AF">
        <w:t xml:space="preserve">are equivalent to “essential characteristics” in section 4(b), or whether each concept performs a distinct function. </w:t>
      </w:r>
      <w:r w:rsidR="002B6323" w:rsidRPr="002B6323">
        <w:t>Stakeholders have also questioned whether</w:t>
      </w:r>
      <w:r w:rsidR="009E4FFA" w:rsidRPr="005E5FEB">
        <w:rPr>
          <w:bCs/>
        </w:rPr>
        <w:t xml:space="preserve"> an ‘important feature’ would always be an ‘essential characteristic’</w:t>
      </w:r>
      <w:r w:rsidR="002B6323" w:rsidRPr="002B6323">
        <w:t>,</w:t>
      </w:r>
      <w:r w:rsidR="009E4FFA" w:rsidRPr="005E5FEB">
        <w:rPr>
          <w:bCs/>
        </w:rPr>
        <w:t xml:space="preserve"> given the definition of the latter. </w:t>
      </w:r>
      <w:r w:rsidR="00BA41AF" w:rsidRPr="00BA41AF">
        <w:t>Previous reviews recommended replacing “important features” with “essential characteristics”.</w:t>
      </w:r>
      <w:r w:rsidR="002B6323" w:rsidRPr="002B6323">
        <w:t xml:space="preserve"> </w:t>
      </w:r>
      <w:r w:rsidR="001B68CB">
        <w:rPr>
          <w:rStyle w:val="FootnoteReference"/>
          <w:bCs/>
        </w:rPr>
        <w:footnoteReference w:id="10"/>
      </w:r>
      <w:r w:rsidR="001B68CB" w:rsidRPr="005E5FEB">
        <w:rPr>
          <w:bCs/>
        </w:rPr>
        <w:t xml:space="preserve"> </w:t>
      </w:r>
    </w:p>
    <w:p w14:paraId="69F39297" w14:textId="77777777" w:rsidR="001B68CB" w:rsidRPr="005E5FEB" w:rsidRDefault="001B68CB" w:rsidP="001B68CB">
      <w:pPr>
        <w:jc w:val="both"/>
        <w:rPr>
          <w:bCs/>
          <w:i/>
          <w:iCs/>
        </w:rPr>
      </w:pPr>
      <w:r w:rsidRPr="005E5FEB">
        <w:rPr>
          <w:bCs/>
          <w:i/>
          <w:iCs/>
        </w:rPr>
        <w:t>Consultation questions</w:t>
      </w:r>
    </w:p>
    <w:p w14:paraId="441DCE3D" w14:textId="1EA64E64" w:rsidR="00563F69" w:rsidRPr="00563F69" w:rsidRDefault="0005391D" w:rsidP="00896FEC">
      <w:pPr>
        <w:pStyle w:val="ListParagraph"/>
        <w:numPr>
          <w:ilvl w:val="0"/>
          <w:numId w:val="24"/>
        </w:numPr>
        <w:rPr>
          <w:bCs/>
          <w:i/>
          <w:iCs/>
        </w:rPr>
      </w:pPr>
      <w:r w:rsidRPr="0005391D">
        <w:rPr>
          <w:i/>
          <w:iCs/>
        </w:rPr>
        <w:t xml:space="preserve">Do you think </w:t>
      </w:r>
      <w:r w:rsidR="00647FE4">
        <w:rPr>
          <w:i/>
          <w:iCs/>
        </w:rPr>
        <w:t>the</w:t>
      </w:r>
      <w:r w:rsidR="007240FC" w:rsidRPr="007240FC">
        <w:rPr>
          <w:i/>
          <w:iCs/>
        </w:rPr>
        <w:t xml:space="preserve"> </w:t>
      </w:r>
      <w:r w:rsidR="00563F69">
        <w:rPr>
          <w:i/>
          <w:iCs/>
        </w:rPr>
        <w:t xml:space="preserve">reference to </w:t>
      </w:r>
      <w:r w:rsidRPr="0005391D">
        <w:rPr>
          <w:i/>
          <w:iCs/>
        </w:rPr>
        <w:t xml:space="preserve">‘important </w:t>
      </w:r>
      <w:proofErr w:type="gramStart"/>
      <w:r w:rsidRPr="0005391D">
        <w:rPr>
          <w:i/>
          <w:iCs/>
        </w:rPr>
        <w:t>features’</w:t>
      </w:r>
      <w:proofErr w:type="gramEnd"/>
      <w:r w:rsidR="0086507F">
        <w:rPr>
          <w:i/>
          <w:iCs/>
        </w:rPr>
        <w:t>:</w:t>
      </w:r>
      <w:r w:rsidRPr="0005391D">
        <w:rPr>
          <w:i/>
          <w:iCs/>
        </w:rPr>
        <w:t xml:space="preserve"> </w:t>
      </w:r>
    </w:p>
    <w:p w14:paraId="1315CCF9" w14:textId="0AE6452A" w:rsidR="00563F69" w:rsidRDefault="0005391D" w:rsidP="00563F69">
      <w:pPr>
        <w:pStyle w:val="ListParagraph"/>
        <w:rPr>
          <w:i/>
          <w:iCs/>
        </w:rPr>
      </w:pPr>
      <w:r w:rsidRPr="0005391D">
        <w:rPr>
          <w:i/>
          <w:iCs/>
        </w:rPr>
        <w:lastRenderedPageBreak/>
        <w:t xml:space="preserve">(a) imposes additional requirements </w:t>
      </w:r>
      <w:r w:rsidR="000065D5" w:rsidRPr="000065D5">
        <w:rPr>
          <w:i/>
          <w:iCs/>
        </w:rPr>
        <w:t>beyond</w:t>
      </w:r>
      <w:r w:rsidRPr="0005391D">
        <w:rPr>
          <w:i/>
          <w:iCs/>
        </w:rPr>
        <w:t xml:space="preserve"> the ‘essential characteristic’ requirement</w:t>
      </w:r>
      <w:r w:rsidR="0086507F" w:rsidRPr="0005391D">
        <w:rPr>
          <w:i/>
          <w:iCs/>
        </w:rPr>
        <w:t>,</w:t>
      </w:r>
      <w:r w:rsidRPr="0005391D">
        <w:rPr>
          <w:i/>
          <w:iCs/>
        </w:rPr>
        <w:t xml:space="preserve"> </w:t>
      </w:r>
    </w:p>
    <w:p w14:paraId="441E74E4" w14:textId="779C46F6" w:rsidR="00563F69" w:rsidRDefault="0005391D" w:rsidP="00563F69">
      <w:pPr>
        <w:pStyle w:val="ListParagraph"/>
        <w:rPr>
          <w:i/>
          <w:iCs/>
        </w:rPr>
      </w:pPr>
      <w:r w:rsidRPr="0005391D">
        <w:rPr>
          <w:i/>
          <w:iCs/>
        </w:rPr>
        <w:t xml:space="preserve">(b) imposes no additional requirements, or </w:t>
      </w:r>
    </w:p>
    <w:p w14:paraId="0037E00D" w14:textId="7965DD28" w:rsidR="0005391D" w:rsidRDefault="0005391D" w:rsidP="00563F69">
      <w:pPr>
        <w:pStyle w:val="ListParagraph"/>
        <w:rPr>
          <w:bCs/>
          <w:i/>
          <w:iCs/>
        </w:rPr>
      </w:pPr>
      <w:r w:rsidRPr="0005391D">
        <w:rPr>
          <w:i/>
          <w:iCs/>
        </w:rPr>
        <w:t>(c) is unclear whether it imposes additional requirements</w:t>
      </w:r>
      <w:r w:rsidR="00563F69">
        <w:rPr>
          <w:i/>
          <w:iCs/>
        </w:rPr>
        <w:t>?</w:t>
      </w:r>
    </w:p>
    <w:p w14:paraId="79377D2F" w14:textId="77777777" w:rsidR="00273342" w:rsidRPr="00911B48" w:rsidRDefault="004E6EC4" w:rsidP="00911B48">
      <w:pPr>
        <w:ind w:firstLine="720"/>
        <w:rPr>
          <w:bCs/>
          <w:i/>
          <w:iCs/>
        </w:rPr>
      </w:pPr>
      <w:r w:rsidRPr="00911B48">
        <w:rPr>
          <w:bCs/>
          <w:i/>
          <w:iCs/>
        </w:rPr>
        <w:t>Where possible, p</w:t>
      </w:r>
      <w:r w:rsidR="00512FAF" w:rsidRPr="00911B48">
        <w:rPr>
          <w:bCs/>
          <w:i/>
          <w:iCs/>
        </w:rPr>
        <w:t xml:space="preserve">lease </w:t>
      </w:r>
      <w:r w:rsidR="00512FAF" w:rsidRPr="00911B48">
        <w:rPr>
          <w:i/>
          <w:iCs/>
        </w:rPr>
        <w:t>provide practical</w:t>
      </w:r>
      <w:r w:rsidR="00512FAF" w:rsidRPr="00911B48">
        <w:rPr>
          <w:bCs/>
          <w:i/>
          <w:iCs/>
        </w:rPr>
        <w:t xml:space="preserve"> examples</w:t>
      </w:r>
      <w:r w:rsidRPr="00911B48">
        <w:rPr>
          <w:bCs/>
          <w:i/>
          <w:iCs/>
        </w:rPr>
        <w:t xml:space="preserve"> to support your views</w:t>
      </w:r>
      <w:r w:rsidR="00512FAF" w:rsidRPr="00911B48">
        <w:rPr>
          <w:bCs/>
          <w:i/>
          <w:iCs/>
        </w:rPr>
        <w:t>.</w:t>
      </w:r>
    </w:p>
    <w:p w14:paraId="712C98E4" w14:textId="5801DA5F" w:rsidR="00273342" w:rsidRPr="007976EC" w:rsidRDefault="0074338E" w:rsidP="007976EC">
      <w:pPr>
        <w:jc w:val="both"/>
        <w:rPr>
          <w:u w:val="single"/>
        </w:rPr>
      </w:pPr>
      <w:r w:rsidRPr="0074338E">
        <w:rPr>
          <w:u w:val="single"/>
        </w:rPr>
        <w:t>Meaning of “cosmetic”</w:t>
      </w:r>
    </w:p>
    <w:p w14:paraId="56959DC2" w14:textId="025FC021" w:rsidR="00CF687E" w:rsidRPr="005E5FEB" w:rsidRDefault="0086507F" w:rsidP="002F3A7C">
      <w:pPr>
        <w:jc w:val="both"/>
        <w:rPr>
          <w:bCs/>
        </w:rPr>
      </w:pPr>
      <w:r w:rsidRPr="00DD047C">
        <w:rPr>
          <w:bCs/>
        </w:rPr>
        <w:t xml:space="preserve">Stakeholders have also </w:t>
      </w:r>
      <w:r w:rsidRPr="00537A2A">
        <w:t>questioned</w:t>
      </w:r>
      <w:r w:rsidRPr="005E5FEB">
        <w:rPr>
          <w:bCs/>
        </w:rPr>
        <w:t xml:space="preserve"> the </w:t>
      </w:r>
      <w:r w:rsidRPr="00537A2A">
        <w:t>phrase</w:t>
      </w:r>
      <w:r w:rsidRPr="005E5FEB">
        <w:rPr>
          <w:bCs/>
        </w:rPr>
        <w:t xml:space="preserve"> “as distinct from cosmetic” in section 4(c). </w:t>
      </w:r>
      <w:r w:rsidRPr="00537A2A">
        <w:t>The</w:t>
      </w:r>
      <w:r w:rsidR="00AB5981" w:rsidRPr="00AB5981">
        <w:t xml:space="preserve"> phrase creates</w:t>
      </w:r>
      <w:r w:rsidRPr="00537A2A">
        <w:t xml:space="preserve"> difficulty </w:t>
      </w:r>
      <w:r w:rsidR="00AB5981" w:rsidRPr="00AB5981">
        <w:t>because</w:t>
      </w:r>
      <w:r w:rsidRPr="005E5FEB">
        <w:rPr>
          <w:bCs/>
        </w:rPr>
        <w:t xml:space="preserve"> </w:t>
      </w:r>
      <w:r w:rsidRPr="00537A2A">
        <w:t>a feature may be aesthetic</w:t>
      </w:r>
      <w:r w:rsidRPr="005E5FEB">
        <w:rPr>
          <w:bCs/>
        </w:rPr>
        <w:t xml:space="preserve"> in </w:t>
      </w:r>
      <w:r w:rsidRPr="00537A2A">
        <w:t xml:space="preserve">nature but </w:t>
      </w:r>
      <w:r w:rsidR="00AB5981" w:rsidRPr="00AB5981">
        <w:t xml:space="preserve">still </w:t>
      </w:r>
      <w:r>
        <w:rPr>
          <w:bCs/>
        </w:rPr>
        <w:t xml:space="preserve">commercially </w:t>
      </w:r>
      <w:r w:rsidRPr="00537A2A">
        <w:t xml:space="preserve">or technically </w:t>
      </w:r>
      <w:r w:rsidRPr="005E5FEB">
        <w:rPr>
          <w:bCs/>
        </w:rPr>
        <w:t>important.</w:t>
      </w:r>
      <w:r w:rsidRPr="005E5FEB" w:rsidDel="008F212A">
        <w:rPr>
          <w:bCs/>
        </w:rPr>
        <w:t xml:space="preserve"> </w:t>
      </w:r>
      <w:r w:rsidRPr="005E5FEB">
        <w:rPr>
          <w:bCs/>
        </w:rPr>
        <w:t>This</w:t>
      </w:r>
      <w:r w:rsidR="00AB5981" w:rsidRPr="00AB5981">
        <w:t xml:space="preserve"> issue</w:t>
      </w:r>
      <w:r w:rsidRPr="005E5FEB">
        <w:rPr>
          <w:bCs/>
        </w:rPr>
        <w:t xml:space="preserve"> is particularly relevant </w:t>
      </w:r>
      <w:r>
        <w:rPr>
          <w:bCs/>
        </w:rPr>
        <w:t xml:space="preserve">to </w:t>
      </w:r>
      <w:r w:rsidRPr="005E5FEB">
        <w:rPr>
          <w:bCs/>
        </w:rPr>
        <w:t>ornamental</w:t>
      </w:r>
      <w:r>
        <w:rPr>
          <w:bCs/>
        </w:rPr>
        <w:t xml:space="preserve"> varieties</w:t>
      </w:r>
      <w:r w:rsidRPr="005E5FEB">
        <w:rPr>
          <w:bCs/>
        </w:rPr>
        <w:t xml:space="preserve">, where flower shape or colour </w:t>
      </w:r>
      <w:r w:rsidRPr="00537A2A">
        <w:t>may determine</w:t>
      </w:r>
      <w:r w:rsidRPr="005E5FEB">
        <w:rPr>
          <w:bCs/>
        </w:rPr>
        <w:t xml:space="preserve"> market </w:t>
      </w:r>
      <w:r w:rsidRPr="00537A2A">
        <w:t>value</w:t>
      </w:r>
      <w:r w:rsidRPr="005E5FEB">
        <w:rPr>
          <w:bCs/>
        </w:rPr>
        <w:t xml:space="preserve">, and </w:t>
      </w:r>
      <w:r w:rsidRPr="00537A2A">
        <w:t>to</w:t>
      </w:r>
      <w:r w:rsidRPr="005E5FEB">
        <w:rPr>
          <w:bCs/>
        </w:rPr>
        <w:t xml:space="preserve"> fruit varieties, where colour </w:t>
      </w:r>
      <w:r w:rsidRPr="00537A2A">
        <w:t>may materially</w:t>
      </w:r>
      <w:r w:rsidRPr="005E5FEB">
        <w:rPr>
          <w:bCs/>
        </w:rPr>
        <w:t xml:space="preserve"> influence consumer preference and marketability. </w:t>
      </w:r>
      <w:r w:rsidRPr="00537A2A">
        <w:t xml:space="preserve">The same type of trait may also </w:t>
      </w:r>
      <w:r w:rsidR="00AB5981" w:rsidRPr="00AB5981">
        <w:t>carry different significance across crops</w:t>
      </w:r>
      <w:r w:rsidRPr="00537A2A">
        <w:t xml:space="preserve">: a colour </w:t>
      </w:r>
      <w:r w:rsidRPr="009402EE">
        <w:rPr>
          <w:bCs/>
        </w:rPr>
        <w:t>change may have little commercial significance in some wheat varieties</w:t>
      </w:r>
      <w:r w:rsidRPr="00537A2A">
        <w:t xml:space="preserve"> but substantial significance in an ornamental</w:t>
      </w:r>
      <w:r w:rsidRPr="009402EE">
        <w:rPr>
          <w:bCs/>
        </w:rPr>
        <w:t xml:space="preserve"> such as </w:t>
      </w:r>
      <w:r w:rsidRPr="00537A2A">
        <w:t xml:space="preserve">a </w:t>
      </w:r>
      <w:r w:rsidRPr="009402EE">
        <w:rPr>
          <w:bCs/>
        </w:rPr>
        <w:t xml:space="preserve">Calla </w:t>
      </w:r>
      <w:r w:rsidRPr="00537A2A">
        <w:t>Lily</w:t>
      </w:r>
      <w:r w:rsidRPr="009402EE">
        <w:rPr>
          <w:bCs/>
        </w:rPr>
        <w:t>.</w:t>
      </w:r>
    </w:p>
    <w:p w14:paraId="2A626DCD" w14:textId="77777777" w:rsidR="002F3A7C" w:rsidRPr="005E5FEB" w:rsidRDefault="002F3A7C" w:rsidP="002F3A7C">
      <w:pPr>
        <w:jc w:val="both"/>
        <w:rPr>
          <w:bCs/>
          <w:i/>
          <w:iCs/>
        </w:rPr>
      </w:pPr>
      <w:r w:rsidRPr="005E5FEB">
        <w:rPr>
          <w:bCs/>
          <w:i/>
          <w:iCs/>
        </w:rPr>
        <w:t>Consultation questions</w:t>
      </w:r>
    </w:p>
    <w:p w14:paraId="3878B517" w14:textId="44B21F18" w:rsidR="00273342" w:rsidRPr="0005363A" w:rsidRDefault="00B62310" w:rsidP="00896FEC">
      <w:pPr>
        <w:pStyle w:val="ListParagraph"/>
        <w:numPr>
          <w:ilvl w:val="0"/>
          <w:numId w:val="24"/>
        </w:numPr>
        <w:rPr>
          <w:bCs/>
          <w:i/>
          <w:iCs/>
        </w:rPr>
      </w:pPr>
      <w:r w:rsidRPr="0005363A">
        <w:rPr>
          <w:i/>
          <w:iCs/>
        </w:rPr>
        <w:t>Does</w:t>
      </w:r>
      <w:r w:rsidRPr="0005363A">
        <w:rPr>
          <w:bCs/>
          <w:i/>
          <w:iCs/>
        </w:rPr>
        <w:t xml:space="preserve"> the </w:t>
      </w:r>
      <w:r w:rsidRPr="0005363A">
        <w:rPr>
          <w:i/>
          <w:iCs/>
        </w:rPr>
        <w:t>phrase</w:t>
      </w:r>
      <w:r w:rsidRPr="0005363A">
        <w:rPr>
          <w:bCs/>
          <w:i/>
          <w:iCs/>
        </w:rPr>
        <w:t xml:space="preserve"> “as distinct from cosmetic” </w:t>
      </w:r>
      <w:r w:rsidRPr="0005363A">
        <w:rPr>
          <w:i/>
          <w:iCs/>
        </w:rPr>
        <w:t>create uncertainty</w:t>
      </w:r>
      <w:r w:rsidRPr="0005363A">
        <w:rPr>
          <w:bCs/>
          <w:i/>
          <w:iCs/>
        </w:rPr>
        <w:t xml:space="preserve"> where </w:t>
      </w:r>
      <w:r w:rsidRPr="0005363A">
        <w:rPr>
          <w:i/>
          <w:iCs/>
        </w:rPr>
        <w:t>an</w:t>
      </w:r>
      <w:r w:rsidRPr="0005363A">
        <w:rPr>
          <w:bCs/>
          <w:i/>
          <w:iCs/>
        </w:rPr>
        <w:t xml:space="preserve"> aesthetic </w:t>
      </w:r>
      <w:r w:rsidRPr="0005363A">
        <w:rPr>
          <w:i/>
          <w:iCs/>
        </w:rPr>
        <w:t>feature is commercially or technically</w:t>
      </w:r>
      <w:r w:rsidRPr="0005363A">
        <w:rPr>
          <w:bCs/>
          <w:i/>
          <w:iCs/>
        </w:rPr>
        <w:t xml:space="preserve"> important</w:t>
      </w:r>
      <w:r w:rsidRPr="0005363A">
        <w:rPr>
          <w:i/>
          <w:iCs/>
        </w:rPr>
        <w:t xml:space="preserve">? </w:t>
      </w:r>
    </w:p>
    <w:p w14:paraId="7A769B65" w14:textId="14C1DFD6" w:rsidR="00273342" w:rsidRPr="0005363A" w:rsidRDefault="0094536F" w:rsidP="00896FEC">
      <w:pPr>
        <w:numPr>
          <w:ilvl w:val="0"/>
          <w:numId w:val="24"/>
        </w:numPr>
        <w:jc w:val="both"/>
        <w:rPr>
          <w:bCs/>
          <w:i/>
          <w:iCs/>
        </w:rPr>
      </w:pPr>
      <w:r w:rsidRPr="0005363A">
        <w:rPr>
          <w:bCs/>
          <w:i/>
          <w:iCs/>
        </w:rPr>
        <w:t>Can you provide examples of derived varieties where an EDV was not sought because the relevant feature was cosmetic?</w:t>
      </w:r>
    </w:p>
    <w:p w14:paraId="5575BC0C" w14:textId="7E797F73" w:rsidR="007F6C42" w:rsidRDefault="007F6C42" w:rsidP="007976EC">
      <w:pPr>
        <w:pStyle w:val="Heading3"/>
      </w:pPr>
      <w:r>
        <w:t>Concerns that the EDV threshold is too high</w:t>
      </w:r>
    </w:p>
    <w:p w14:paraId="0AA219F9" w14:textId="6E6EAC47" w:rsidR="00CF687E" w:rsidRPr="002833DD" w:rsidRDefault="003F6AE3" w:rsidP="002833DD">
      <w:pPr>
        <w:jc w:val="both"/>
        <w:rPr>
          <w:bCs/>
        </w:rPr>
      </w:pPr>
      <w:r w:rsidRPr="003F6AE3">
        <w:t>The</w:t>
      </w:r>
      <w:r w:rsidRPr="002833DD">
        <w:rPr>
          <w:bCs/>
        </w:rPr>
        <w:t xml:space="preserve"> EDV system </w:t>
      </w:r>
      <w:r w:rsidRPr="003F6AE3">
        <w:t>aims</w:t>
      </w:r>
      <w:r w:rsidRPr="002833DD">
        <w:rPr>
          <w:bCs/>
        </w:rPr>
        <w:t xml:space="preserve"> </w:t>
      </w:r>
      <w:r w:rsidRPr="00D863A1">
        <w:rPr>
          <w:bCs/>
        </w:rPr>
        <w:t xml:space="preserve">to balance access to protected varieties for further breeding </w:t>
      </w:r>
      <w:r w:rsidRPr="003F6AE3">
        <w:t>with</w:t>
      </w:r>
      <w:r w:rsidRPr="00D863A1">
        <w:rPr>
          <w:bCs/>
        </w:rPr>
        <w:t xml:space="preserve"> fair protection and remuneration </w:t>
      </w:r>
      <w:r w:rsidRPr="003F6AE3">
        <w:t xml:space="preserve">for </w:t>
      </w:r>
      <w:r w:rsidR="00B20EA8">
        <w:t>initial</w:t>
      </w:r>
      <w:r w:rsidRPr="003F6AE3">
        <w:t xml:space="preserve"> breeders </w:t>
      </w:r>
      <w:r w:rsidRPr="00D863A1">
        <w:rPr>
          <w:bCs/>
        </w:rPr>
        <w:t>when new varieties are predominantly derived from their varieties.</w:t>
      </w:r>
    </w:p>
    <w:p w14:paraId="7283CF33" w14:textId="19F7782A" w:rsidR="00CF687E" w:rsidRDefault="001C3AED" w:rsidP="00CC08E0">
      <w:pPr>
        <w:jc w:val="both"/>
      </w:pPr>
      <w:r>
        <w:t xml:space="preserve">As new </w:t>
      </w:r>
      <w:r w:rsidR="005E5505" w:rsidRPr="005E5505">
        <w:t xml:space="preserve">technologies </w:t>
      </w:r>
      <w:r>
        <w:t>enable</w:t>
      </w:r>
      <w:r w:rsidRPr="00522A2F">
        <w:rPr>
          <w:bCs/>
        </w:rPr>
        <w:t xml:space="preserve"> </w:t>
      </w:r>
      <w:r w:rsidR="005E5505" w:rsidRPr="00522A2F">
        <w:rPr>
          <w:bCs/>
        </w:rPr>
        <w:t xml:space="preserve">competitors to develop </w:t>
      </w:r>
      <w:r w:rsidR="005E5505" w:rsidRPr="005E5505">
        <w:t xml:space="preserve">and commercialise </w:t>
      </w:r>
      <w:r w:rsidR="005E5505" w:rsidRPr="00522A2F">
        <w:rPr>
          <w:bCs/>
        </w:rPr>
        <w:t xml:space="preserve">new varieties more quickly, </w:t>
      </w:r>
      <w:r w:rsidR="00171A37">
        <w:rPr>
          <w:bCs/>
        </w:rPr>
        <w:t>initial</w:t>
      </w:r>
      <w:r w:rsidR="005E5505" w:rsidRPr="00522A2F">
        <w:rPr>
          <w:bCs/>
        </w:rPr>
        <w:t xml:space="preserve"> breeders </w:t>
      </w:r>
      <w:r>
        <w:rPr>
          <w:bCs/>
        </w:rPr>
        <w:t xml:space="preserve">may have </w:t>
      </w:r>
      <w:r w:rsidR="005E5505" w:rsidRPr="00522A2F">
        <w:rPr>
          <w:bCs/>
        </w:rPr>
        <w:t>less time to recoup their investment.</w:t>
      </w:r>
      <w:r w:rsidR="005E5505">
        <w:rPr>
          <w:bCs/>
        </w:rPr>
        <w:t xml:space="preserve"> </w:t>
      </w:r>
      <w:r w:rsidR="005E5505" w:rsidRPr="005E5505">
        <w:t>Stakeholders</w:t>
      </w:r>
      <w:r w:rsidR="005E5505" w:rsidRPr="005E5FEB">
        <w:rPr>
          <w:bCs/>
        </w:rPr>
        <w:t xml:space="preserve"> have </w:t>
      </w:r>
      <w:r w:rsidR="005E5505" w:rsidRPr="005E5505">
        <w:t>raised</w:t>
      </w:r>
      <w:r w:rsidR="005E5505" w:rsidRPr="005E5FEB">
        <w:rPr>
          <w:bCs/>
        </w:rPr>
        <w:t xml:space="preserve"> concerns that Australia’s threshold for essential derivation is too high</w:t>
      </w:r>
      <w:r w:rsidR="005E5505" w:rsidRPr="005E5505">
        <w:t>,</w:t>
      </w:r>
      <w:r w:rsidR="005E5505">
        <w:rPr>
          <w:bCs/>
        </w:rPr>
        <w:t xml:space="preserve"> and</w:t>
      </w:r>
      <w:r w:rsidR="005E5505" w:rsidRPr="005E5FEB">
        <w:rPr>
          <w:bCs/>
        </w:rPr>
        <w:t xml:space="preserve"> </w:t>
      </w:r>
      <w:r w:rsidR="005E5505">
        <w:t xml:space="preserve">advances </w:t>
      </w:r>
      <w:r w:rsidR="005E5505" w:rsidRPr="005E5505">
        <w:t>such as</w:t>
      </w:r>
      <w:r w:rsidR="005E5505">
        <w:t xml:space="preserve"> gene</w:t>
      </w:r>
      <w:r w:rsidR="005E5505" w:rsidRPr="00E1755C">
        <w:t xml:space="preserve"> editing, targeted mutagenesis and other precision breeding methods</w:t>
      </w:r>
      <w:r w:rsidR="005E5505">
        <w:t xml:space="preserve"> have </w:t>
      </w:r>
      <w:r w:rsidR="005E5505" w:rsidRPr="005E5505">
        <w:t>heightened those</w:t>
      </w:r>
      <w:r w:rsidR="005E5505">
        <w:t xml:space="preserve"> concerns.</w:t>
      </w:r>
    </w:p>
    <w:p w14:paraId="445BDB3B" w14:textId="66F71806" w:rsidR="00382A93" w:rsidRPr="007976EC" w:rsidRDefault="00564164" w:rsidP="002F3A7C">
      <w:pPr>
        <w:jc w:val="both"/>
        <w:rPr>
          <w:bCs/>
          <w:u w:val="single"/>
        </w:rPr>
      </w:pPr>
      <w:r>
        <w:rPr>
          <w:bCs/>
          <w:u w:val="single"/>
        </w:rPr>
        <w:t>T</w:t>
      </w:r>
      <w:r w:rsidR="00382A93">
        <w:rPr>
          <w:bCs/>
          <w:u w:val="single"/>
        </w:rPr>
        <w:t>he current EDV threshold</w:t>
      </w:r>
    </w:p>
    <w:p w14:paraId="2AD5E50C" w14:textId="7429D70C" w:rsidR="00CF687E" w:rsidRDefault="00EE2A93">
      <w:pPr>
        <w:jc w:val="both"/>
        <w:rPr>
          <w:color w:val="000000"/>
          <w:kern w:val="2"/>
          <w:szCs w:val="22"/>
          <w:lang w:eastAsia="en-AU"/>
          <w14:ligatures w14:val="standardContextual"/>
        </w:rPr>
      </w:pPr>
      <w:r w:rsidRPr="005E5FEB">
        <w:rPr>
          <w:bCs/>
        </w:rPr>
        <w:t xml:space="preserve">The requirement that </w:t>
      </w:r>
      <w:r w:rsidR="0086507F" w:rsidRPr="009E76E3">
        <w:t>an EDV not exhibit “any important (as distinct from cosmetic) features” that differentiate it from the initial variety</w:t>
      </w:r>
      <w:r>
        <w:t xml:space="preserve"> is unique to Australia</w:t>
      </w:r>
      <w:r w:rsidR="0086507F" w:rsidRPr="009E76E3">
        <w:t xml:space="preserve">. </w:t>
      </w:r>
      <w:r w:rsidR="0015326F">
        <w:t xml:space="preserve">Stakeholders have raised concerns that this requirement </w:t>
      </w:r>
      <w:r w:rsidR="001C4198">
        <w:t>means that</w:t>
      </w:r>
      <w:r w:rsidR="0086507F" w:rsidRPr="009E76E3">
        <w:t xml:space="preserve"> Australia defines EDVs too narrowly. The Productivity Commission noted that the requirement </w:t>
      </w:r>
      <w:r w:rsidR="008222B5">
        <w:t xml:space="preserve">means that </w:t>
      </w:r>
      <w:r w:rsidR="008222B5" w:rsidRPr="005E5FEB">
        <w:rPr>
          <w:bCs/>
        </w:rPr>
        <w:t>“in some cases, the balance of rights is tipped in favour of follow-on breeders over initial breeders, particularly in an era where new technology can be used to rapidly introduce traits of interest into existing varieties.”</w:t>
      </w:r>
      <w:r w:rsidR="00714C1D" w:rsidRPr="005E5FEB">
        <w:rPr>
          <w:bCs/>
          <w:vertAlign w:val="superscript"/>
        </w:rPr>
        <w:footnoteReference w:id="11"/>
      </w:r>
      <w:r w:rsidR="00714C1D" w:rsidRPr="005E5FEB">
        <w:rPr>
          <w:bCs/>
        </w:rPr>
        <w:t xml:space="preserve"> </w:t>
      </w:r>
      <w:r w:rsidR="0086507F" w:rsidRPr="009E76E3">
        <w:t>Stakeholders have echoed this view in recent years.</w:t>
      </w:r>
      <w:r w:rsidR="003B3E34">
        <w:rPr>
          <w:rStyle w:val="FootnoteReference"/>
        </w:rPr>
        <w:footnoteReference w:id="12"/>
      </w:r>
      <w:r w:rsidR="0086507F" w:rsidRPr="009E76E3">
        <w:t xml:space="preserve"> Conversely, the Productivity Commission and </w:t>
      </w:r>
      <w:r w:rsidR="00A0158F">
        <w:t xml:space="preserve">the </w:t>
      </w:r>
      <w:r w:rsidR="00EA3BBF">
        <w:t xml:space="preserve">former </w:t>
      </w:r>
      <w:r w:rsidR="00A0158F">
        <w:t>Advisory Council on Intellectual Property (</w:t>
      </w:r>
      <w:r w:rsidR="0086507F" w:rsidRPr="009E76E3">
        <w:t>ACIP</w:t>
      </w:r>
      <w:r w:rsidR="00A0158F">
        <w:t>)</w:t>
      </w:r>
      <w:r w:rsidR="0086507F" w:rsidRPr="009E76E3">
        <w:t xml:space="preserve"> noted that a threshold set too low could create an ‘endless cascade of PBR over all derived varieties’.</w:t>
      </w:r>
    </w:p>
    <w:p w14:paraId="072DAC03" w14:textId="34D0084B" w:rsidR="00CF687E" w:rsidRDefault="0086507F">
      <w:pPr>
        <w:jc w:val="both"/>
        <w:rPr>
          <w:color w:val="000000"/>
          <w:kern w:val="2"/>
          <w:szCs w:val="22"/>
          <w:lang w:eastAsia="en-AU"/>
          <w14:ligatures w14:val="standardContextual"/>
        </w:rPr>
      </w:pPr>
      <w:r w:rsidRPr="009F1EDE">
        <w:t xml:space="preserve">Some stakeholders </w:t>
      </w:r>
      <w:r w:rsidR="00236DCC">
        <w:t>believe</w:t>
      </w:r>
      <w:r w:rsidRPr="009F1EDE">
        <w:t xml:space="preserve"> that the small number of EDV applications in Australia suggests the threshold is too high. However, relatively few EDV disputes have been identified internationally.</w:t>
      </w:r>
      <w:r w:rsidRPr="00BE04F1">
        <w:rPr>
          <w:rStyle w:val="FootnoteReference"/>
        </w:rPr>
        <w:t xml:space="preserve"> </w:t>
      </w:r>
      <w:r w:rsidR="00BE04F1">
        <w:rPr>
          <w:rStyle w:val="FootnoteReference"/>
        </w:rPr>
        <w:footnoteReference w:id="13"/>
      </w:r>
      <w:r w:rsidRPr="009F1EDE">
        <w:t xml:space="preserve"> IP Australia seeks evidence and practical examples to better understand the extent of any problem and whether legislative reform is warranted.</w:t>
      </w:r>
    </w:p>
    <w:p w14:paraId="73CCBE0F" w14:textId="052073A3" w:rsidR="001D175E" w:rsidRPr="00230DBB" w:rsidRDefault="001D175E" w:rsidP="001D175E">
      <w:pPr>
        <w:jc w:val="both"/>
        <w:rPr>
          <w:bCs/>
          <w:i/>
          <w:iCs/>
        </w:rPr>
      </w:pPr>
      <w:r w:rsidRPr="005E5FEB">
        <w:rPr>
          <w:bCs/>
          <w:i/>
          <w:iCs/>
        </w:rPr>
        <w:lastRenderedPageBreak/>
        <w:t>Consultation questions</w:t>
      </w:r>
    </w:p>
    <w:p w14:paraId="0B0F2F17" w14:textId="5F400B4B" w:rsidR="0086507F" w:rsidRPr="00230DBB" w:rsidRDefault="005F7185" w:rsidP="00896FEC">
      <w:pPr>
        <w:pStyle w:val="ListParagraph"/>
        <w:numPr>
          <w:ilvl w:val="0"/>
          <w:numId w:val="24"/>
        </w:numPr>
        <w:jc w:val="both"/>
        <w:rPr>
          <w:bCs/>
          <w:i/>
          <w:iCs/>
        </w:rPr>
      </w:pPr>
      <w:r w:rsidRPr="005F7185">
        <w:rPr>
          <w:i/>
          <w:iCs/>
        </w:rPr>
        <w:t>Have</w:t>
      </w:r>
      <w:r w:rsidR="0086507F" w:rsidRPr="00230DBB">
        <w:rPr>
          <w:bCs/>
          <w:i/>
          <w:iCs/>
        </w:rPr>
        <w:t xml:space="preserve"> concerns about follow</w:t>
      </w:r>
      <w:r w:rsidRPr="005F7185">
        <w:rPr>
          <w:i/>
          <w:iCs/>
        </w:rPr>
        <w:t>-</w:t>
      </w:r>
      <w:r w:rsidR="0086507F" w:rsidRPr="00230DBB">
        <w:rPr>
          <w:bCs/>
          <w:i/>
          <w:iCs/>
        </w:rPr>
        <w:t>on breeding</w:t>
      </w:r>
      <w:r w:rsidRPr="005F7185">
        <w:rPr>
          <w:i/>
          <w:iCs/>
        </w:rPr>
        <w:t xml:space="preserve"> prevented anyone from releasing varieties in Australia?</w:t>
      </w:r>
      <w:r w:rsidR="0086507F">
        <w:rPr>
          <w:bCs/>
          <w:i/>
          <w:iCs/>
        </w:rPr>
        <w:t xml:space="preserve"> Can you provide an example</w:t>
      </w:r>
      <w:r w:rsidRPr="005F7185">
        <w:rPr>
          <w:i/>
          <w:iCs/>
        </w:rPr>
        <w:t>?</w:t>
      </w:r>
    </w:p>
    <w:p w14:paraId="7360012D" w14:textId="4F1DAE56" w:rsidR="0086507F" w:rsidRDefault="00B14DDE" w:rsidP="00896FEC">
      <w:pPr>
        <w:pStyle w:val="ListParagraph"/>
        <w:numPr>
          <w:ilvl w:val="0"/>
          <w:numId w:val="24"/>
        </w:numPr>
        <w:jc w:val="both"/>
        <w:rPr>
          <w:bCs/>
          <w:i/>
          <w:iCs/>
        </w:rPr>
      </w:pPr>
      <w:r w:rsidRPr="00B14DDE">
        <w:rPr>
          <w:i/>
          <w:iCs/>
        </w:rPr>
        <w:t>Have</w:t>
      </w:r>
      <w:r w:rsidR="0086507F" w:rsidRPr="00230DBB">
        <w:rPr>
          <w:bCs/>
          <w:i/>
          <w:iCs/>
        </w:rPr>
        <w:t xml:space="preserve"> new breeding technologies</w:t>
      </w:r>
      <w:r w:rsidRPr="00B14DDE">
        <w:rPr>
          <w:i/>
          <w:iCs/>
        </w:rPr>
        <w:t xml:space="preserve">, </w:t>
      </w:r>
      <w:r w:rsidR="0086507F" w:rsidRPr="00230DBB">
        <w:rPr>
          <w:bCs/>
          <w:i/>
          <w:iCs/>
        </w:rPr>
        <w:t>including gene editing</w:t>
      </w:r>
      <w:r w:rsidRPr="00B14DDE">
        <w:rPr>
          <w:i/>
          <w:iCs/>
        </w:rPr>
        <w:t>,</w:t>
      </w:r>
      <w:r w:rsidR="0086507F" w:rsidRPr="00230DBB">
        <w:rPr>
          <w:bCs/>
          <w:i/>
          <w:iCs/>
        </w:rPr>
        <w:t xml:space="preserve"> enabled </w:t>
      </w:r>
      <w:r w:rsidRPr="00B14DDE">
        <w:rPr>
          <w:i/>
          <w:iCs/>
        </w:rPr>
        <w:t>breeders to develop</w:t>
      </w:r>
      <w:r w:rsidR="0086507F" w:rsidRPr="00230DBB">
        <w:rPr>
          <w:bCs/>
          <w:i/>
          <w:iCs/>
        </w:rPr>
        <w:t xml:space="preserve"> varieties that </w:t>
      </w:r>
      <w:r w:rsidR="00BE04F1">
        <w:rPr>
          <w:bCs/>
          <w:i/>
          <w:iCs/>
        </w:rPr>
        <w:t xml:space="preserve">you believe </w:t>
      </w:r>
      <w:r w:rsidR="0086507F" w:rsidRPr="00230DBB">
        <w:rPr>
          <w:bCs/>
          <w:i/>
          <w:iCs/>
        </w:rPr>
        <w:t xml:space="preserve">should have been treated as EDVs </w:t>
      </w:r>
      <w:r w:rsidR="00BE04F1">
        <w:rPr>
          <w:i/>
          <w:iCs/>
        </w:rPr>
        <w:t xml:space="preserve">but </w:t>
      </w:r>
      <w:r w:rsidR="00B44D06">
        <w:rPr>
          <w:i/>
          <w:iCs/>
        </w:rPr>
        <w:t xml:space="preserve">do not meet the </w:t>
      </w:r>
      <w:r w:rsidR="0086507F" w:rsidRPr="375D084B">
        <w:rPr>
          <w:i/>
          <w:iCs/>
        </w:rPr>
        <w:t>definition in Australian law</w:t>
      </w:r>
      <w:r w:rsidR="0086507F" w:rsidRPr="00230DBB">
        <w:rPr>
          <w:bCs/>
          <w:i/>
          <w:iCs/>
        </w:rPr>
        <w:t>? Please provide details where possible</w:t>
      </w:r>
      <w:r w:rsidR="0086507F" w:rsidRPr="375D084B">
        <w:rPr>
          <w:i/>
          <w:iCs/>
        </w:rPr>
        <w:t>.</w:t>
      </w:r>
    </w:p>
    <w:p w14:paraId="78E9BEE0" w14:textId="4519C077" w:rsidR="0086507F" w:rsidRDefault="000332D0" w:rsidP="00896FEC">
      <w:pPr>
        <w:pStyle w:val="ListParagraph"/>
        <w:numPr>
          <w:ilvl w:val="0"/>
          <w:numId w:val="24"/>
        </w:numPr>
        <w:jc w:val="both"/>
        <w:rPr>
          <w:bCs/>
          <w:i/>
          <w:iCs/>
        </w:rPr>
      </w:pPr>
      <w:r w:rsidRPr="000332D0">
        <w:rPr>
          <w:i/>
          <w:iCs/>
        </w:rPr>
        <w:t>What</w:t>
      </w:r>
      <w:r w:rsidR="0086507F">
        <w:rPr>
          <w:bCs/>
          <w:i/>
          <w:iCs/>
        </w:rPr>
        <w:t xml:space="preserve"> other evidence </w:t>
      </w:r>
      <w:r w:rsidRPr="000332D0">
        <w:rPr>
          <w:i/>
          <w:iCs/>
        </w:rPr>
        <w:t>should</w:t>
      </w:r>
      <w:r w:rsidR="0086507F">
        <w:rPr>
          <w:bCs/>
          <w:i/>
          <w:iCs/>
        </w:rPr>
        <w:t xml:space="preserve"> IP Australia consider </w:t>
      </w:r>
      <w:r w:rsidRPr="000332D0">
        <w:rPr>
          <w:i/>
          <w:iCs/>
        </w:rPr>
        <w:t>when</w:t>
      </w:r>
      <w:r w:rsidR="0086507F">
        <w:rPr>
          <w:bCs/>
          <w:i/>
          <w:iCs/>
        </w:rPr>
        <w:t xml:space="preserve"> assessing </w:t>
      </w:r>
      <w:r w:rsidRPr="000332D0">
        <w:rPr>
          <w:i/>
          <w:iCs/>
        </w:rPr>
        <w:t>whether to change Australia’s</w:t>
      </w:r>
      <w:r w:rsidR="0086507F">
        <w:rPr>
          <w:bCs/>
          <w:i/>
          <w:iCs/>
        </w:rPr>
        <w:t xml:space="preserve"> EDV threshold?</w:t>
      </w:r>
    </w:p>
    <w:p w14:paraId="12415003" w14:textId="0D7E8BD0" w:rsidR="0086507F" w:rsidRPr="00821230" w:rsidRDefault="00843DFF" w:rsidP="00896FEC">
      <w:pPr>
        <w:pStyle w:val="ListParagraph"/>
        <w:numPr>
          <w:ilvl w:val="0"/>
          <w:numId w:val="24"/>
        </w:numPr>
        <w:rPr>
          <w:bCs/>
          <w:i/>
          <w:iCs/>
        </w:rPr>
      </w:pPr>
      <w:r>
        <w:rPr>
          <w:i/>
          <w:iCs/>
        </w:rPr>
        <w:t xml:space="preserve">Are you aware of </w:t>
      </w:r>
      <w:r w:rsidR="0086507F" w:rsidRPr="00D944F5">
        <w:rPr>
          <w:bCs/>
          <w:i/>
          <w:iCs/>
        </w:rPr>
        <w:t xml:space="preserve">PBR owners not </w:t>
      </w:r>
      <w:r w:rsidR="00F17AFB">
        <w:rPr>
          <w:bCs/>
          <w:i/>
          <w:iCs/>
        </w:rPr>
        <w:t xml:space="preserve">applying for </w:t>
      </w:r>
      <w:r w:rsidR="0086507F" w:rsidRPr="00D944F5">
        <w:rPr>
          <w:bCs/>
          <w:i/>
          <w:iCs/>
        </w:rPr>
        <w:t xml:space="preserve">an EDV declaration </w:t>
      </w:r>
      <w:r w:rsidR="002D6A72" w:rsidRPr="002D6A72">
        <w:rPr>
          <w:i/>
          <w:iCs/>
        </w:rPr>
        <w:t>because they expected</w:t>
      </w:r>
      <w:r w:rsidR="0086507F" w:rsidRPr="375D084B">
        <w:rPr>
          <w:i/>
          <w:iCs/>
        </w:rPr>
        <w:t xml:space="preserve"> the application </w:t>
      </w:r>
      <w:r w:rsidR="002D6A72" w:rsidRPr="002D6A72">
        <w:rPr>
          <w:i/>
          <w:iCs/>
        </w:rPr>
        <w:t>to</w:t>
      </w:r>
      <w:r w:rsidR="0086507F" w:rsidRPr="375D084B">
        <w:rPr>
          <w:i/>
          <w:iCs/>
        </w:rPr>
        <w:t xml:space="preserve"> fail?</w:t>
      </w:r>
      <w:r w:rsidR="0086507F" w:rsidRPr="00D944F5">
        <w:rPr>
          <w:bCs/>
          <w:i/>
          <w:iCs/>
        </w:rPr>
        <w:t xml:space="preserve"> Please provide details.</w:t>
      </w:r>
    </w:p>
    <w:p w14:paraId="38EE02E6" w14:textId="3D1CE4B8" w:rsidR="0086507F" w:rsidRPr="00AD320A" w:rsidRDefault="003F323C" w:rsidP="00AD320A">
      <w:pPr>
        <w:jc w:val="both"/>
        <w:rPr>
          <w:bCs/>
        </w:rPr>
      </w:pPr>
      <w:r w:rsidRPr="003F323C">
        <w:t>Stakeholders hold</w:t>
      </w:r>
      <w:r w:rsidR="0086507F" w:rsidRPr="005E5FEB">
        <w:rPr>
          <w:bCs/>
        </w:rPr>
        <w:t xml:space="preserve"> different views </w:t>
      </w:r>
      <w:r w:rsidRPr="003F323C">
        <w:t>on the</w:t>
      </w:r>
      <w:r w:rsidR="0086507F" w:rsidRPr="005E5FEB">
        <w:rPr>
          <w:bCs/>
        </w:rPr>
        <w:t xml:space="preserve"> appropriate </w:t>
      </w:r>
      <w:r w:rsidRPr="003F323C">
        <w:t xml:space="preserve">EDV </w:t>
      </w:r>
      <w:r w:rsidR="0086507F" w:rsidRPr="005E5FEB">
        <w:rPr>
          <w:bCs/>
        </w:rPr>
        <w:t>threshold</w:t>
      </w:r>
      <w:r w:rsidRPr="003F323C">
        <w:t>. To support</w:t>
      </w:r>
      <w:r w:rsidR="0086507F" w:rsidRPr="00AD320A">
        <w:rPr>
          <w:bCs/>
        </w:rPr>
        <w:t xml:space="preserve"> discussion, this paper </w:t>
      </w:r>
      <w:r w:rsidRPr="003F323C">
        <w:t>compares</w:t>
      </w:r>
      <w:r w:rsidR="0086507F" w:rsidRPr="00AD320A">
        <w:rPr>
          <w:bCs/>
        </w:rPr>
        <w:t xml:space="preserve"> the current </w:t>
      </w:r>
      <w:r w:rsidRPr="003F323C">
        <w:t xml:space="preserve">PBR Act </w:t>
      </w:r>
      <w:r w:rsidR="0086507F" w:rsidRPr="00AD320A">
        <w:rPr>
          <w:bCs/>
        </w:rPr>
        <w:t xml:space="preserve">approach with two alternative threshold approaches </w:t>
      </w:r>
      <w:r w:rsidR="00662E9D">
        <w:rPr>
          <w:bCs/>
        </w:rPr>
        <w:t xml:space="preserve">below </w:t>
      </w:r>
      <w:r w:rsidR="0086507F" w:rsidRPr="00AD320A">
        <w:rPr>
          <w:bCs/>
        </w:rPr>
        <w:t xml:space="preserve">suggested by stakeholders. </w:t>
      </w:r>
    </w:p>
    <w:p w14:paraId="266F3B16" w14:textId="25FE7717" w:rsidR="002C1332" w:rsidRDefault="00DE5380" w:rsidP="00E655E0">
      <w:pPr>
        <w:pStyle w:val="Heading4"/>
      </w:pPr>
      <w:r w:rsidRPr="00DE5380">
        <w:t>Alternative approaches to the EDV threshold</w:t>
      </w:r>
    </w:p>
    <w:p w14:paraId="2DE260C5" w14:textId="32F32468" w:rsidR="002F3A7C" w:rsidRPr="00F52FDA" w:rsidRDefault="00C622AB" w:rsidP="002F3A7C">
      <w:pPr>
        <w:jc w:val="both"/>
        <w:rPr>
          <w:b/>
        </w:rPr>
      </w:pPr>
      <w:r w:rsidRPr="00F52FDA">
        <w:rPr>
          <w:b/>
        </w:rPr>
        <w:t xml:space="preserve">Possible approach 1: </w:t>
      </w:r>
      <w:r w:rsidR="00BA0E92" w:rsidRPr="00F52FDA">
        <w:rPr>
          <w:b/>
        </w:rPr>
        <w:t xml:space="preserve">Consider </w:t>
      </w:r>
      <w:r w:rsidR="00290314" w:rsidRPr="00F52FDA">
        <w:rPr>
          <w:b/>
        </w:rPr>
        <w:t>varieties with a</w:t>
      </w:r>
      <w:r w:rsidR="002F3A7C" w:rsidRPr="00F52FDA">
        <w:rPr>
          <w:b/>
        </w:rPr>
        <w:t>dded essential characteristics</w:t>
      </w:r>
      <w:r w:rsidR="00290314" w:rsidRPr="00F52FDA">
        <w:rPr>
          <w:b/>
        </w:rPr>
        <w:t xml:space="preserve"> as EDVs</w:t>
      </w:r>
    </w:p>
    <w:p w14:paraId="74192F6A" w14:textId="1E176151" w:rsidR="0086507F" w:rsidRPr="005E5FEB" w:rsidRDefault="0086507F" w:rsidP="002F3A7C">
      <w:pPr>
        <w:jc w:val="both"/>
        <w:rPr>
          <w:bCs/>
          <w:u w:val="single"/>
        </w:rPr>
      </w:pPr>
      <w:r w:rsidRPr="005E5FEB">
        <w:rPr>
          <w:bCs/>
        </w:rPr>
        <w:t xml:space="preserve">While </w:t>
      </w:r>
      <w:r w:rsidR="000634D3" w:rsidRPr="000634D3">
        <w:t>UPOV members take different</w:t>
      </w:r>
      <w:r w:rsidRPr="005E5FEB">
        <w:rPr>
          <w:bCs/>
        </w:rPr>
        <w:t xml:space="preserve"> approaches </w:t>
      </w:r>
      <w:r w:rsidR="000634D3" w:rsidRPr="000634D3">
        <w:t>to</w:t>
      </w:r>
      <w:r w:rsidRPr="005E5FEB">
        <w:rPr>
          <w:bCs/>
        </w:rPr>
        <w:t xml:space="preserve"> EDV provisions, most agree that a variety qualifies as an EDV if it:</w:t>
      </w:r>
    </w:p>
    <w:p w14:paraId="0894C8D9" w14:textId="77777777" w:rsidR="002F3A7C" w:rsidRPr="005E5FEB" w:rsidRDefault="002F3A7C" w:rsidP="00896FEC">
      <w:pPr>
        <w:numPr>
          <w:ilvl w:val="0"/>
          <w:numId w:val="23"/>
        </w:numPr>
        <w:jc w:val="both"/>
        <w:rPr>
          <w:bCs/>
        </w:rPr>
      </w:pPr>
      <w:r w:rsidRPr="005E5FEB">
        <w:rPr>
          <w:bCs/>
        </w:rPr>
        <w:t>is predominantly derived from the initial variety;</w:t>
      </w:r>
    </w:p>
    <w:p w14:paraId="4EE9E939" w14:textId="77777777" w:rsidR="002F3A7C" w:rsidRPr="005E5FEB" w:rsidRDefault="002F3A7C" w:rsidP="00896FEC">
      <w:pPr>
        <w:numPr>
          <w:ilvl w:val="0"/>
          <w:numId w:val="23"/>
        </w:numPr>
        <w:jc w:val="both"/>
        <w:rPr>
          <w:bCs/>
        </w:rPr>
      </w:pPr>
      <w:r w:rsidRPr="005E5FEB">
        <w:rPr>
          <w:bCs/>
        </w:rPr>
        <w:t>retains all essential characteristics of the initial variety; and</w:t>
      </w:r>
    </w:p>
    <w:p w14:paraId="7EA518FA" w14:textId="77777777" w:rsidR="002F3A7C" w:rsidRPr="005E5FEB" w:rsidRDefault="002F3A7C" w:rsidP="00896FEC">
      <w:pPr>
        <w:numPr>
          <w:ilvl w:val="0"/>
          <w:numId w:val="23"/>
        </w:numPr>
        <w:jc w:val="both"/>
        <w:rPr>
          <w:bCs/>
        </w:rPr>
      </w:pPr>
      <w:r w:rsidRPr="005E5FEB">
        <w:rPr>
          <w:bCs/>
        </w:rPr>
        <w:t xml:space="preserve">introduces </w:t>
      </w:r>
      <w:r w:rsidRPr="006C0AE5">
        <w:rPr>
          <w:b/>
        </w:rPr>
        <w:t>additional essential characteristics</w:t>
      </w:r>
      <w:r w:rsidRPr="005E5FEB">
        <w:rPr>
          <w:bCs/>
        </w:rPr>
        <w:t xml:space="preserve"> unique to the derived variety.</w:t>
      </w:r>
    </w:p>
    <w:p w14:paraId="35929D46" w14:textId="7072D5B2" w:rsidR="002F3A7C" w:rsidRPr="005E5FEB" w:rsidRDefault="007F26A8" w:rsidP="002F3A7C">
      <w:pPr>
        <w:jc w:val="both"/>
        <w:rPr>
          <w:bCs/>
        </w:rPr>
      </w:pPr>
      <w:r w:rsidRPr="007F26A8">
        <w:rPr>
          <w:bCs/>
        </w:rPr>
        <w:t xml:space="preserve">If "important features" are interpreted as being equivalent to "essential characteristics", a variety with additional essential characteristics would not be considered an EDV under </w:t>
      </w:r>
      <w:r w:rsidR="006408A6">
        <w:rPr>
          <w:bCs/>
        </w:rPr>
        <w:t xml:space="preserve">current </w:t>
      </w:r>
      <w:r w:rsidRPr="007F26A8">
        <w:rPr>
          <w:bCs/>
        </w:rPr>
        <w:t>Australian law.</w:t>
      </w:r>
      <w:r w:rsidR="000974DC">
        <w:rPr>
          <w:bCs/>
        </w:rPr>
        <w:t xml:space="preserve"> </w:t>
      </w:r>
    </w:p>
    <w:p w14:paraId="58D5BC02" w14:textId="3F6B0C5E" w:rsidR="002F3A7C" w:rsidRPr="005E5FEB" w:rsidRDefault="002F3A7C" w:rsidP="002F3A7C">
      <w:pPr>
        <w:ind w:left="720"/>
        <w:rPr>
          <w:bCs/>
          <w:u w:val="single"/>
        </w:rPr>
      </w:pPr>
      <w:r w:rsidRPr="005E5FEB">
        <w:rPr>
          <w:bCs/>
          <w:u w:val="single"/>
        </w:rPr>
        <w:t>Example</w:t>
      </w:r>
    </w:p>
    <w:p w14:paraId="3290FB38" w14:textId="3E4656F2" w:rsidR="0086507F" w:rsidRPr="005E5FEB" w:rsidRDefault="0086507F" w:rsidP="002F3A7C">
      <w:pPr>
        <w:ind w:left="720"/>
        <w:jc w:val="both"/>
        <w:rPr>
          <w:bCs/>
        </w:rPr>
      </w:pPr>
      <w:r w:rsidRPr="005E5FEB">
        <w:rPr>
          <w:bCs/>
        </w:rPr>
        <w:t xml:space="preserve">A </w:t>
      </w:r>
      <w:r w:rsidR="00CC41C3" w:rsidRPr="00CC41C3">
        <w:t xml:space="preserve">breeder develops Variety B, a </w:t>
      </w:r>
      <w:r w:rsidRPr="005E5FEB">
        <w:rPr>
          <w:bCs/>
        </w:rPr>
        <w:t>new sunflower variety</w:t>
      </w:r>
      <w:r w:rsidR="00CC41C3" w:rsidRPr="00CC41C3">
        <w:t xml:space="preserve">, from </w:t>
      </w:r>
      <w:r w:rsidRPr="005E5FEB">
        <w:rPr>
          <w:bCs/>
        </w:rPr>
        <w:t xml:space="preserve">Variety </w:t>
      </w:r>
      <w:r w:rsidR="00CC41C3" w:rsidRPr="00CC41C3">
        <w:t>A</w:t>
      </w:r>
      <w:r w:rsidRPr="005E5FEB">
        <w:rPr>
          <w:bCs/>
        </w:rPr>
        <w:t xml:space="preserve"> by induced mutation</w:t>
      </w:r>
      <w:r w:rsidR="00CC41C3" w:rsidRPr="00CC41C3">
        <w:t>.</w:t>
      </w:r>
      <w:r w:rsidRPr="005E5FEB">
        <w:rPr>
          <w:bCs/>
        </w:rPr>
        <w:t xml:space="preserve"> Variety B </w:t>
      </w:r>
      <w:r w:rsidR="00CC41C3" w:rsidRPr="00CC41C3">
        <w:t>derives</w:t>
      </w:r>
      <w:r w:rsidRPr="005E5FEB">
        <w:rPr>
          <w:bCs/>
        </w:rPr>
        <w:t xml:space="preserve"> solely from Variety A and retains all </w:t>
      </w:r>
      <w:r w:rsidR="00CC41C3" w:rsidRPr="00CC41C3">
        <w:t>its</w:t>
      </w:r>
      <w:r w:rsidRPr="005E5FEB">
        <w:rPr>
          <w:bCs/>
        </w:rPr>
        <w:t xml:space="preserve"> essential characteristics</w:t>
      </w:r>
      <w:r w:rsidR="00CC41C3" w:rsidRPr="00CC41C3">
        <w:t>, but adds</w:t>
      </w:r>
      <w:r w:rsidRPr="005E5FEB">
        <w:rPr>
          <w:bCs/>
        </w:rPr>
        <w:t xml:space="preserve"> herbicide tolerance</w:t>
      </w:r>
      <w:r w:rsidR="00CC41C3" w:rsidRPr="00CC41C3">
        <w:t>, an</w:t>
      </w:r>
      <w:r w:rsidRPr="005F557E">
        <w:rPr>
          <w:bCs/>
        </w:rPr>
        <w:t xml:space="preserve"> </w:t>
      </w:r>
      <w:r w:rsidR="00B11DDB">
        <w:rPr>
          <w:bCs/>
        </w:rPr>
        <w:t xml:space="preserve">additional </w:t>
      </w:r>
      <w:r w:rsidRPr="005F557E">
        <w:rPr>
          <w:bCs/>
        </w:rPr>
        <w:t xml:space="preserve">essential characteristic </w:t>
      </w:r>
      <w:r w:rsidR="00CC41C3" w:rsidRPr="00CC41C3">
        <w:t>that Variety A does</w:t>
      </w:r>
      <w:r w:rsidRPr="005F557E">
        <w:rPr>
          <w:bCs/>
        </w:rPr>
        <w:t xml:space="preserve"> not </w:t>
      </w:r>
      <w:r w:rsidR="00CC41C3" w:rsidRPr="00CC41C3">
        <w:t>have</w:t>
      </w:r>
      <w:r w:rsidRPr="005F557E">
        <w:rPr>
          <w:bCs/>
        </w:rPr>
        <w:t>.</w:t>
      </w:r>
    </w:p>
    <w:p w14:paraId="4409500D" w14:textId="6A60BD03" w:rsidR="002F3A7C" w:rsidRPr="005E5FEB" w:rsidRDefault="002F3A7C" w:rsidP="00ED7880">
      <w:pPr>
        <w:jc w:val="both"/>
        <w:rPr>
          <w:bCs/>
        </w:rPr>
      </w:pPr>
      <w:r w:rsidRPr="005E5FEB">
        <w:rPr>
          <w:bCs/>
        </w:rPr>
        <w:t>Under Australia’s definition of EDVs, Variety B would not be considered an EDV, as it has an important feature that differentiates it from Variety A</w:t>
      </w:r>
      <w:r w:rsidR="00492147">
        <w:rPr>
          <w:bCs/>
        </w:rPr>
        <w:t xml:space="preserve">, whereas </w:t>
      </w:r>
      <w:r w:rsidRPr="005E5FEB">
        <w:rPr>
          <w:bCs/>
        </w:rPr>
        <w:t xml:space="preserve">most UPOV members assessed that Variety B would be an EDV. </w:t>
      </w:r>
    </w:p>
    <w:p w14:paraId="3D37E3E5" w14:textId="77777777" w:rsidR="00BE16EA" w:rsidRPr="00BE16EA" w:rsidRDefault="00D13E00" w:rsidP="00BE16EA">
      <w:pPr>
        <w:jc w:val="both"/>
        <w:rPr>
          <w:b/>
        </w:rPr>
      </w:pPr>
      <w:r w:rsidRPr="00F52FDA">
        <w:rPr>
          <w:b/>
        </w:rPr>
        <w:t xml:space="preserve">Possible approach 2: </w:t>
      </w:r>
      <w:r w:rsidR="00BE16EA" w:rsidRPr="00BE16EA">
        <w:rPr>
          <w:b/>
        </w:rPr>
        <w:t>Treat a variety as an EDV where differences in essential characteristics result from the act of derivation.</w:t>
      </w:r>
    </w:p>
    <w:p w14:paraId="79F4CFC0" w14:textId="45AFBB16" w:rsidR="0086507F" w:rsidRDefault="0096320D" w:rsidP="002F3A7C">
      <w:pPr>
        <w:jc w:val="both"/>
        <w:rPr>
          <w:bCs/>
        </w:rPr>
      </w:pPr>
      <w:r w:rsidRPr="0096320D">
        <w:t>Some</w:t>
      </w:r>
      <w:r w:rsidR="0086507F" w:rsidRPr="005E5FEB">
        <w:rPr>
          <w:bCs/>
        </w:rPr>
        <w:t xml:space="preserve"> stakeholders </w:t>
      </w:r>
      <w:r w:rsidRPr="0096320D">
        <w:t xml:space="preserve">favoured another approach </w:t>
      </w:r>
      <w:r w:rsidR="0086507F">
        <w:rPr>
          <w:bCs/>
        </w:rPr>
        <w:t xml:space="preserve">during </w:t>
      </w:r>
      <w:r w:rsidR="00672111">
        <w:t>IP Australia’s</w:t>
      </w:r>
      <w:r w:rsidRPr="0096320D">
        <w:t xml:space="preserve"> </w:t>
      </w:r>
      <w:r w:rsidR="0086507F">
        <w:rPr>
          <w:bCs/>
        </w:rPr>
        <w:t>2021</w:t>
      </w:r>
      <w:r w:rsidR="0086507F" w:rsidRPr="005E5FEB">
        <w:rPr>
          <w:bCs/>
        </w:rPr>
        <w:t xml:space="preserve"> consultation </w:t>
      </w:r>
      <w:r w:rsidR="0086507F">
        <w:rPr>
          <w:bCs/>
        </w:rPr>
        <w:t>on EDVs</w:t>
      </w:r>
      <w:r w:rsidR="00490B87">
        <w:rPr>
          <w:bCs/>
        </w:rPr>
        <w:t>,</w:t>
      </w:r>
      <w:r w:rsidR="0086507F" w:rsidRPr="005E5FEB">
        <w:rPr>
          <w:bCs/>
        </w:rPr>
        <w:t xml:space="preserve"> that </w:t>
      </w:r>
      <w:r w:rsidR="00DA62FC">
        <w:rPr>
          <w:bCs/>
        </w:rPr>
        <w:t xml:space="preserve">would </w:t>
      </w:r>
      <w:r w:rsidRPr="0096320D">
        <w:t xml:space="preserve">allow </w:t>
      </w:r>
      <w:r w:rsidR="0086507F" w:rsidRPr="005E5FEB">
        <w:rPr>
          <w:bCs/>
        </w:rPr>
        <w:t xml:space="preserve">an EDV </w:t>
      </w:r>
      <w:r w:rsidRPr="0096320D">
        <w:t>to differ</w:t>
      </w:r>
      <w:r w:rsidR="0086507F" w:rsidRPr="005E5FEB">
        <w:rPr>
          <w:bCs/>
        </w:rPr>
        <w:t xml:space="preserve"> from the initial variety </w:t>
      </w:r>
      <w:r w:rsidRPr="0096320D">
        <w:t>in its</w:t>
      </w:r>
      <w:r w:rsidR="0086507F" w:rsidRPr="005E5FEB">
        <w:rPr>
          <w:bCs/>
        </w:rPr>
        <w:t xml:space="preserve"> essential characteristics</w:t>
      </w:r>
      <w:r w:rsidRPr="0096320D">
        <w:t xml:space="preserve">, </w:t>
      </w:r>
      <w:r w:rsidR="0086507F" w:rsidRPr="005E5FEB">
        <w:rPr>
          <w:bCs/>
        </w:rPr>
        <w:t>provided the act of derivation</w:t>
      </w:r>
      <w:r w:rsidRPr="0096320D">
        <w:t xml:space="preserve"> caused those differences.</w:t>
      </w:r>
      <w:r w:rsidR="0086507F" w:rsidRPr="005E5FEB">
        <w:rPr>
          <w:bCs/>
        </w:rPr>
        <w:t xml:space="preserve"> </w:t>
      </w:r>
      <w:r w:rsidR="0086507F">
        <w:rPr>
          <w:bCs/>
        </w:rPr>
        <w:t>U</w:t>
      </w:r>
      <w:r w:rsidR="0086507F" w:rsidRPr="005D04C3">
        <w:rPr>
          <w:bCs/>
        </w:rPr>
        <w:t>nder this interpretation, predominant derivation</w:t>
      </w:r>
      <w:r w:rsidR="00EF2F86">
        <w:rPr>
          <w:bCs/>
        </w:rPr>
        <w:t xml:space="preserve"> would be a key factor in </w:t>
      </w:r>
      <w:r w:rsidR="00624A26">
        <w:rPr>
          <w:bCs/>
        </w:rPr>
        <w:t>determining EDV status</w:t>
      </w:r>
      <w:r w:rsidR="0086507F" w:rsidRPr="005D04C3">
        <w:rPr>
          <w:bCs/>
        </w:rPr>
        <w:t xml:space="preserve">. </w:t>
      </w:r>
      <w:r w:rsidRPr="0096320D">
        <w:t>For</w:t>
      </w:r>
      <w:r w:rsidR="0086507F" w:rsidRPr="005D04C3">
        <w:rPr>
          <w:bCs/>
        </w:rPr>
        <w:t xml:space="preserve"> mono-parental varieties</w:t>
      </w:r>
      <w:r w:rsidR="00901FEE">
        <w:rPr>
          <w:bCs/>
        </w:rPr>
        <w:t xml:space="preserve"> </w:t>
      </w:r>
      <w:r w:rsidR="001D74C4">
        <w:rPr>
          <w:bCs/>
        </w:rPr>
        <w:t>(i.e</w:t>
      </w:r>
      <w:r w:rsidR="003E118A">
        <w:rPr>
          <w:bCs/>
        </w:rPr>
        <w:t xml:space="preserve">. </w:t>
      </w:r>
      <w:r w:rsidR="00901FEE">
        <w:rPr>
          <w:bCs/>
        </w:rPr>
        <w:t>varie</w:t>
      </w:r>
      <w:r w:rsidR="00100463">
        <w:rPr>
          <w:bCs/>
        </w:rPr>
        <w:t xml:space="preserve">ties </w:t>
      </w:r>
      <w:r w:rsidR="00DD2B77">
        <w:rPr>
          <w:bCs/>
        </w:rPr>
        <w:t>derived from a single parent</w:t>
      </w:r>
      <w:r w:rsidR="001D74C4">
        <w:rPr>
          <w:bCs/>
        </w:rPr>
        <w:t>)</w:t>
      </w:r>
      <w:r w:rsidR="003E118A">
        <w:rPr>
          <w:bCs/>
        </w:rPr>
        <w:t>,</w:t>
      </w:r>
      <w:r w:rsidR="0086507F" w:rsidRPr="005D04C3">
        <w:rPr>
          <w:bCs/>
        </w:rPr>
        <w:t xml:space="preserve"> </w:t>
      </w:r>
      <w:r w:rsidR="001D74C4">
        <w:rPr>
          <w:bCs/>
        </w:rPr>
        <w:t xml:space="preserve">a variety would be </w:t>
      </w:r>
      <w:r w:rsidR="00E75C7D">
        <w:rPr>
          <w:bCs/>
        </w:rPr>
        <w:t>an EDV</w:t>
      </w:r>
      <w:r w:rsidR="0086507F" w:rsidRPr="005D04C3">
        <w:rPr>
          <w:bCs/>
        </w:rPr>
        <w:t xml:space="preserve"> regardless of the number of resulting changes, </w:t>
      </w:r>
      <w:r w:rsidR="00E75C7D">
        <w:rPr>
          <w:bCs/>
        </w:rPr>
        <w:t xml:space="preserve">as any change </w:t>
      </w:r>
      <w:r w:rsidR="006C3016">
        <w:rPr>
          <w:bCs/>
        </w:rPr>
        <w:t xml:space="preserve">must be a result of the </w:t>
      </w:r>
      <w:r w:rsidR="0086507F" w:rsidRPr="005D04C3">
        <w:rPr>
          <w:bCs/>
        </w:rPr>
        <w:t>act of derivation.</w:t>
      </w:r>
    </w:p>
    <w:p w14:paraId="7661A40A" w14:textId="3913ED61" w:rsidR="00990B4D" w:rsidRDefault="001D1887" w:rsidP="001D1887">
      <w:pPr>
        <w:jc w:val="both"/>
      </w:pPr>
      <w:r w:rsidRPr="001D1887">
        <w:rPr>
          <w:bCs/>
        </w:rPr>
        <w:t xml:space="preserve">This approach could result in varieties being treated as EDVs even where important or innovative characteristics have been added or modified, for example to improve disease resistance or adaptation to different growing conditions. </w:t>
      </w:r>
      <w:r>
        <w:t>Such a variety would not be considered an EDV under the current PBR Act, despite being predominantly derived from the initial variety’s genome.</w:t>
      </w:r>
      <w:r w:rsidR="00CA37AF">
        <w:t xml:space="preserve"> </w:t>
      </w:r>
      <w:r w:rsidR="00B64FC0">
        <w:t xml:space="preserve">In response to the 2021 consultation stakeholders that </w:t>
      </w:r>
      <w:r w:rsidR="00B64FC0">
        <w:lastRenderedPageBreak/>
        <w:t xml:space="preserve">did not favour this approach were concerned </w:t>
      </w:r>
      <w:r w:rsidR="00B97DD4">
        <w:t xml:space="preserve">that this </w:t>
      </w:r>
      <w:r w:rsidR="0072155A">
        <w:t xml:space="preserve">could disincentivise </w:t>
      </w:r>
      <w:r w:rsidR="00E80F96">
        <w:t xml:space="preserve">innovation of new breeding technologies and the use </w:t>
      </w:r>
      <w:r w:rsidR="0072155A">
        <w:t xml:space="preserve">of new breeding techniques </w:t>
      </w:r>
      <w:r w:rsidR="009F05D9">
        <w:t xml:space="preserve">to </w:t>
      </w:r>
      <w:r w:rsidR="00DD4EC2">
        <w:t>develop new varieties.</w:t>
      </w:r>
      <w:r w:rsidR="00A673A6">
        <w:t xml:space="preserve"> </w:t>
      </w:r>
    </w:p>
    <w:p w14:paraId="709156DA" w14:textId="77777777" w:rsidR="002F3A7C" w:rsidRPr="005E5FEB" w:rsidRDefault="002F3A7C" w:rsidP="002F3A7C">
      <w:pPr>
        <w:jc w:val="both"/>
        <w:rPr>
          <w:bCs/>
          <w:u w:val="single"/>
        </w:rPr>
      </w:pPr>
      <w:r w:rsidRPr="005E5FEB">
        <w:rPr>
          <w:bCs/>
        </w:rPr>
        <w:tab/>
      </w:r>
      <w:r w:rsidRPr="005E5FEB">
        <w:rPr>
          <w:bCs/>
          <w:u w:val="single"/>
        </w:rPr>
        <w:t>Example</w:t>
      </w:r>
    </w:p>
    <w:p w14:paraId="098324D5" w14:textId="3F370DC5" w:rsidR="002F3A7C" w:rsidRPr="005E5FEB" w:rsidRDefault="002F3A7C" w:rsidP="002F3A7C">
      <w:pPr>
        <w:ind w:left="720"/>
        <w:jc w:val="both"/>
        <w:rPr>
          <w:bCs/>
        </w:rPr>
      </w:pPr>
      <w:r w:rsidRPr="005E5FEB">
        <w:rPr>
          <w:bCs/>
        </w:rPr>
        <w:t xml:space="preserve">Variety A is a Delphinium with pink flower colour.  </w:t>
      </w:r>
      <w:r w:rsidR="00EA0416" w:rsidRPr="00EA0416">
        <w:rPr>
          <w:bCs/>
        </w:rPr>
        <w:t>Variety B, which has light pink flowers, is a mutation of Variety A produced by ion beam irradiation.</w:t>
      </w:r>
    </w:p>
    <w:p w14:paraId="36EEC23A" w14:textId="47B66A63" w:rsidR="002F3A7C" w:rsidRPr="005E5FEB" w:rsidRDefault="002F3A7C" w:rsidP="002F3A7C">
      <w:pPr>
        <w:ind w:left="720"/>
        <w:jc w:val="both"/>
        <w:rPr>
          <w:bCs/>
        </w:rPr>
      </w:pPr>
      <w:r w:rsidRPr="005E5FEB">
        <w:rPr>
          <w:bCs/>
        </w:rPr>
        <w:t>Under an approach where mono-parental varieties are considered essentially derived this would be an EDV.</w:t>
      </w:r>
      <w:r w:rsidR="00780E53">
        <w:rPr>
          <w:bCs/>
        </w:rPr>
        <w:t xml:space="preserve"> </w:t>
      </w:r>
      <w:r w:rsidR="009C0603" w:rsidRPr="009C0603">
        <w:rPr>
          <w:bCs/>
        </w:rPr>
        <w:t>In an approach where the essential characteristics of the variety need to be retained this would not be considered an EDV.</w:t>
      </w:r>
    </w:p>
    <w:p w14:paraId="05568A13" w14:textId="04D4FE1B" w:rsidR="0086507F" w:rsidRDefault="0086507F" w:rsidP="00821230">
      <w:r w:rsidRPr="00457C2A">
        <w:t xml:space="preserve">IP Australia has reservations about this approach. The IP system </w:t>
      </w:r>
      <w:r w:rsidR="00C95754" w:rsidRPr="00C95754">
        <w:t>aims</w:t>
      </w:r>
      <w:r w:rsidRPr="00457C2A">
        <w:t xml:space="preserve"> to balance </w:t>
      </w:r>
      <w:r w:rsidR="00C95754" w:rsidRPr="00C95754">
        <w:t>incentives for</w:t>
      </w:r>
      <w:r w:rsidRPr="00457C2A">
        <w:t xml:space="preserve"> innovation </w:t>
      </w:r>
      <w:r w:rsidR="00C95754" w:rsidRPr="00C95754">
        <w:t>with</w:t>
      </w:r>
      <w:r w:rsidRPr="00457C2A">
        <w:t xml:space="preserve"> the broader interests of the community. </w:t>
      </w:r>
      <w:r w:rsidR="00E668CE" w:rsidRPr="00E668CE">
        <w:t>While breeders should have adequate incentives to develop new varieties, a predominantly derived variety may incorporate a significant new trait, such as disease resistance, that reflects substantial investment and innovation.</w:t>
      </w:r>
      <w:r w:rsidRPr="00457C2A">
        <w:t xml:space="preserve"> Treating all mono-parental varieties as EDVs could reduce incentives to develop and commercialise </w:t>
      </w:r>
      <w:r w:rsidR="00C95754" w:rsidRPr="00C95754">
        <w:t>those</w:t>
      </w:r>
      <w:r w:rsidRPr="00457C2A">
        <w:t xml:space="preserve"> varieties.</w:t>
      </w:r>
    </w:p>
    <w:p w14:paraId="37BF01CC" w14:textId="77777777" w:rsidR="00E8211B" w:rsidRPr="005E5FEB" w:rsidRDefault="00E8211B" w:rsidP="00E8211B">
      <w:pPr>
        <w:jc w:val="both"/>
        <w:rPr>
          <w:bCs/>
          <w:i/>
          <w:iCs/>
        </w:rPr>
      </w:pPr>
      <w:r w:rsidRPr="005E5FEB">
        <w:rPr>
          <w:bCs/>
          <w:i/>
          <w:iCs/>
        </w:rPr>
        <w:t>Consultation questions</w:t>
      </w:r>
    </w:p>
    <w:p w14:paraId="471B0DB1" w14:textId="0D0F7A75" w:rsidR="0086507F" w:rsidRPr="00B33185" w:rsidRDefault="0086507F" w:rsidP="00896FEC">
      <w:pPr>
        <w:pStyle w:val="ListParagraph"/>
        <w:numPr>
          <w:ilvl w:val="0"/>
          <w:numId w:val="24"/>
        </w:numPr>
        <w:rPr>
          <w:bCs/>
          <w:i/>
          <w:iCs/>
        </w:rPr>
      </w:pPr>
      <w:r w:rsidRPr="00B33185">
        <w:rPr>
          <w:bCs/>
          <w:i/>
          <w:iCs/>
        </w:rPr>
        <w:t xml:space="preserve">Considering the current approach in the PBR Act and the examples provided above, what threshold should </w:t>
      </w:r>
      <w:r w:rsidR="00195AD0" w:rsidRPr="00B33185">
        <w:rPr>
          <w:i/>
          <w:iCs/>
        </w:rPr>
        <w:t>IP Australia apply to EDVs?</w:t>
      </w:r>
      <w:r w:rsidRPr="00B33185">
        <w:rPr>
          <w:bCs/>
          <w:i/>
          <w:iCs/>
        </w:rPr>
        <w:t xml:space="preserve"> Why?</w:t>
      </w:r>
    </w:p>
    <w:p w14:paraId="1C0B6C58" w14:textId="6089821F" w:rsidR="0086507F" w:rsidRPr="00B33185" w:rsidRDefault="005F758E" w:rsidP="00896FEC">
      <w:pPr>
        <w:pStyle w:val="ListParagraph"/>
        <w:numPr>
          <w:ilvl w:val="0"/>
          <w:numId w:val="24"/>
        </w:numPr>
        <w:rPr>
          <w:bCs/>
          <w:i/>
          <w:iCs/>
        </w:rPr>
      </w:pPr>
      <w:r w:rsidRPr="00B33185">
        <w:rPr>
          <w:i/>
          <w:iCs/>
        </w:rPr>
        <w:t>Should IP Australia consider</w:t>
      </w:r>
      <w:r w:rsidR="0086507F" w:rsidRPr="00B33185">
        <w:rPr>
          <w:bCs/>
          <w:i/>
          <w:iCs/>
        </w:rPr>
        <w:t xml:space="preserve"> other approaches to the EDV threshold</w:t>
      </w:r>
      <w:r w:rsidRPr="00B33185">
        <w:rPr>
          <w:i/>
          <w:iCs/>
        </w:rPr>
        <w:t>?</w:t>
      </w:r>
      <w:r w:rsidR="0086507F" w:rsidRPr="00B33185">
        <w:rPr>
          <w:bCs/>
          <w:i/>
          <w:iCs/>
        </w:rPr>
        <w:t xml:space="preserve"> If so, please provide examples to support your views.</w:t>
      </w:r>
    </w:p>
    <w:p w14:paraId="1D1202AA" w14:textId="52872408" w:rsidR="00373672" w:rsidRDefault="00373672" w:rsidP="00910604">
      <w:pPr>
        <w:pStyle w:val="Heading4"/>
      </w:pPr>
      <w:r w:rsidRPr="00373672">
        <w:t xml:space="preserve">Other stakeholder views on EDV </w:t>
      </w:r>
      <w:r w:rsidR="00910604">
        <w:t>thresholds</w:t>
      </w:r>
    </w:p>
    <w:p w14:paraId="0E59801C" w14:textId="404069B3" w:rsidR="00891ED4" w:rsidRPr="007976EC" w:rsidRDefault="00910604" w:rsidP="007976EC">
      <w:pPr>
        <w:pStyle w:val="NoSpacing"/>
        <w:rPr>
          <w:u w:val="single"/>
        </w:rPr>
      </w:pPr>
      <w:r>
        <w:rPr>
          <w:u w:val="single"/>
        </w:rPr>
        <w:t>D</w:t>
      </w:r>
      <w:r w:rsidR="00891ED4" w:rsidRPr="007976EC">
        <w:rPr>
          <w:u w:val="single"/>
        </w:rPr>
        <w:t xml:space="preserve">efinition of EDV </w:t>
      </w:r>
      <w:r w:rsidR="00027A68">
        <w:rPr>
          <w:u w:val="single"/>
        </w:rPr>
        <w:t>inco</w:t>
      </w:r>
      <w:r w:rsidR="001624EC">
        <w:rPr>
          <w:u w:val="single"/>
        </w:rPr>
        <w:t>rporating</w:t>
      </w:r>
      <w:r w:rsidR="00830C76" w:rsidRPr="007976EC">
        <w:rPr>
          <w:u w:val="single"/>
        </w:rPr>
        <w:t xml:space="preserve"> a genetic component/genetic </w:t>
      </w:r>
      <w:r w:rsidR="00891ED4" w:rsidRPr="007976EC">
        <w:rPr>
          <w:u w:val="single"/>
        </w:rPr>
        <w:t xml:space="preserve">similarity </w:t>
      </w:r>
      <w:r w:rsidR="00830C76" w:rsidRPr="007976EC">
        <w:rPr>
          <w:u w:val="single"/>
        </w:rPr>
        <w:t>threshold</w:t>
      </w:r>
    </w:p>
    <w:p w14:paraId="29758A10" w14:textId="5E44DAB5" w:rsidR="009B4851" w:rsidRDefault="0086507F" w:rsidP="00754B06">
      <w:pPr>
        <w:jc w:val="both"/>
        <w:rPr>
          <w:bCs/>
        </w:rPr>
      </w:pPr>
      <w:r w:rsidRPr="00B33AFD">
        <w:rPr>
          <w:bCs/>
        </w:rPr>
        <w:t xml:space="preserve">Some stakeholders have suggested </w:t>
      </w:r>
      <w:r w:rsidR="0036057D" w:rsidRPr="0036057D">
        <w:t>adding</w:t>
      </w:r>
      <w:r w:rsidRPr="00B33AFD">
        <w:rPr>
          <w:bCs/>
        </w:rPr>
        <w:t xml:space="preserve"> a genetic component</w:t>
      </w:r>
      <w:r w:rsidR="0036057D" w:rsidRPr="0036057D">
        <w:t xml:space="preserve"> to the EDV definition</w:t>
      </w:r>
      <w:r w:rsidRPr="00B33AFD">
        <w:rPr>
          <w:bCs/>
        </w:rPr>
        <w:t>, such as a minimum level of genetic similarity between varieties.</w:t>
      </w:r>
      <w:r w:rsidRPr="00AD3740">
        <w:t xml:space="preserve"> </w:t>
      </w:r>
      <w:r w:rsidRPr="00AD3740">
        <w:rPr>
          <w:bCs/>
        </w:rPr>
        <w:t xml:space="preserve">Stakeholders </w:t>
      </w:r>
      <w:r w:rsidR="0036057D" w:rsidRPr="0036057D">
        <w:t>who support</w:t>
      </w:r>
      <w:r w:rsidRPr="00AD3740">
        <w:rPr>
          <w:bCs/>
        </w:rPr>
        <w:t xml:space="preserve"> a genetic threshold argue that it may provide greater certainty and objectivity than assessments based solely on varietal characteristics and derivation.</w:t>
      </w:r>
      <w:r w:rsidRPr="00B33AFD">
        <w:rPr>
          <w:bCs/>
        </w:rPr>
        <w:t xml:space="preserve"> </w:t>
      </w:r>
    </w:p>
    <w:p w14:paraId="49554AEF" w14:textId="635A72D1" w:rsidR="0086507F" w:rsidRDefault="0036057D" w:rsidP="00754B06">
      <w:pPr>
        <w:jc w:val="both"/>
        <w:rPr>
          <w:bCs/>
        </w:rPr>
      </w:pPr>
      <w:r w:rsidRPr="0036057D">
        <w:t>UPOV</w:t>
      </w:r>
      <w:r w:rsidR="0086507F" w:rsidRPr="00B33AFD">
        <w:rPr>
          <w:bCs/>
        </w:rPr>
        <w:t xml:space="preserve"> considered </w:t>
      </w:r>
      <w:r w:rsidRPr="0036057D">
        <w:t>this issue when discussing</w:t>
      </w:r>
      <w:r w:rsidR="0086507F" w:rsidRPr="00B33AFD">
        <w:rPr>
          <w:bCs/>
        </w:rPr>
        <w:t xml:space="preserve"> the revised Explanatory Notes on EDVs. However, neither the UPOV Convention nor the revised Explanatory Notes adopted a fixed genetic similarity threshold.</w:t>
      </w:r>
      <w:r w:rsidR="0086507F">
        <w:rPr>
          <w:bCs/>
        </w:rPr>
        <w:t xml:space="preserve"> </w:t>
      </w:r>
      <w:r w:rsidRPr="0036057D">
        <w:t>Practical</w:t>
      </w:r>
      <w:r w:rsidR="0086507F" w:rsidRPr="009B4387">
        <w:rPr>
          <w:bCs/>
        </w:rPr>
        <w:t xml:space="preserve"> difficulties include </w:t>
      </w:r>
      <w:r w:rsidRPr="0036057D">
        <w:t>the lack of universal</w:t>
      </w:r>
      <w:r w:rsidR="0086507F" w:rsidRPr="009B4387">
        <w:rPr>
          <w:bCs/>
        </w:rPr>
        <w:t xml:space="preserve"> genetic similarity thresholds</w:t>
      </w:r>
      <w:r w:rsidRPr="0036057D">
        <w:t>, the</w:t>
      </w:r>
      <w:r w:rsidR="0086507F" w:rsidRPr="009B4387">
        <w:rPr>
          <w:bCs/>
        </w:rPr>
        <w:t xml:space="preserve"> likely need </w:t>
      </w:r>
      <w:r w:rsidRPr="0036057D">
        <w:t>for</w:t>
      </w:r>
      <w:r w:rsidR="0086507F" w:rsidRPr="009B4387">
        <w:rPr>
          <w:bCs/>
        </w:rPr>
        <w:t xml:space="preserve"> crop-specific</w:t>
      </w:r>
      <w:r w:rsidRPr="0036057D">
        <w:t xml:space="preserve"> thresholds</w:t>
      </w:r>
      <w:r w:rsidR="0086507F" w:rsidRPr="009B4387">
        <w:rPr>
          <w:bCs/>
        </w:rPr>
        <w:t xml:space="preserve">, and </w:t>
      </w:r>
      <w:r w:rsidRPr="0036057D">
        <w:t>the absence of</w:t>
      </w:r>
      <w:r w:rsidR="0086507F" w:rsidRPr="009B4387">
        <w:rPr>
          <w:bCs/>
        </w:rPr>
        <w:t xml:space="preserve"> international consensus on appropriate genetic testing methodologies or thresholds for most plant groupings.</w:t>
      </w:r>
    </w:p>
    <w:p w14:paraId="2DEBF65B" w14:textId="2A891A32" w:rsidR="007F5118" w:rsidRDefault="007F5118" w:rsidP="008E0A22">
      <w:pPr>
        <w:jc w:val="both"/>
      </w:pPr>
      <w:r w:rsidRPr="007F5118">
        <w:t>Although the UPOV Convention and the PBR Act do not include a genetic similarity threshold in the EDV definition, genetic evidence may still assist EDV assessments, particularly for predominant derivation. Australian EDV matters have considered evidence such as DNA profiling. Until broader international consensus emerges on testing methods and crop-specific thresholds, IP Australia does not propose to include a genetic similarity threshold in the EDV definition.</w:t>
      </w:r>
    </w:p>
    <w:p w14:paraId="3C346E5D" w14:textId="6F1EDEE2" w:rsidR="002F3A7C" w:rsidRPr="005E5FEB" w:rsidRDefault="002F3A7C" w:rsidP="002F3A7C">
      <w:pPr>
        <w:jc w:val="both"/>
        <w:rPr>
          <w:bCs/>
          <w:i/>
          <w:iCs/>
        </w:rPr>
      </w:pPr>
      <w:r w:rsidRPr="005E5FEB">
        <w:rPr>
          <w:bCs/>
          <w:i/>
          <w:iCs/>
        </w:rPr>
        <w:t>Consultation questions</w:t>
      </w:r>
    </w:p>
    <w:p w14:paraId="52A966E3" w14:textId="60CE271A" w:rsidR="0086507F" w:rsidRPr="004D6A77" w:rsidRDefault="0086507F" w:rsidP="00896FEC">
      <w:pPr>
        <w:pStyle w:val="ListParagraph"/>
        <w:numPr>
          <w:ilvl w:val="0"/>
          <w:numId w:val="24"/>
        </w:numPr>
        <w:rPr>
          <w:bCs/>
          <w:i/>
          <w:iCs/>
        </w:rPr>
      </w:pPr>
      <w:r w:rsidRPr="004D6A77">
        <w:rPr>
          <w:bCs/>
          <w:i/>
          <w:iCs/>
        </w:rPr>
        <w:t xml:space="preserve">How would </w:t>
      </w:r>
      <w:r w:rsidR="0001130B" w:rsidRPr="004D6A77">
        <w:rPr>
          <w:i/>
          <w:iCs/>
        </w:rPr>
        <w:t>changes to</w:t>
      </w:r>
      <w:r w:rsidRPr="004D6A77">
        <w:rPr>
          <w:bCs/>
          <w:i/>
          <w:iCs/>
        </w:rPr>
        <w:t xml:space="preserve"> the EDV threshold affect incentives for initial breeders and follow-on breeders in your sector?</w:t>
      </w:r>
    </w:p>
    <w:p w14:paraId="39EF9B21" w14:textId="464DACED" w:rsidR="0086507F" w:rsidRPr="004D6A77" w:rsidRDefault="008F0CCE" w:rsidP="00896FEC">
      <w:pPr>
        <w:pStyle w:val="ListParagraph"/>
        <w:numPr>
          <w:ilvl w:val="0"/>
          <w:numId w:val="24"/>
        </w:numPr>
        <w:rPr>
          <w:bCs/>
          <w:i/>
          <w:iCs/>
        </w:rPr>
      </w:pPr>
      <w:r w:rsidRPr="008F0CCE">
        <w:rPr>
          <w:i/>
          <w:iCs/>
        </w:rPr>
        <w:t>What</w:t>
      </w:r>
      <w:r w:rsidR="0086507F" w:rsidRPr="006C2C71">
        <w:rPr>
          <w:bCs/>
          <w:i/>
          <w:iCs/>
        </w:rPr>
        <w:t xml:space="preserve"> evidence </w:t>
      </w:r>
      <w:r w:rsidRPr="008F0CCE">
        <w:rPr>
          <w:i/>
          <w:iCs/>
        </w:rPr>
        <w:t xml:space="preserve">shows </w:t>
      </w:r>
      <w:r w:rsidR="0086507F" w:rsidRPr="006C2C71">
        <w:rPr>
          <w:bCs/>
          <w:i/>
          <w:iCs/>
        </w:rPr>
        <w:t xml:space="preserve">that </w:t>
      </w:r>
      <w:r w:rsidRPr="008F0CCE">
        <w:rPr>
          <w:i/>
          <w:iCs/>
        </w:rPr>
        <w:t>IP Australia needs to change</w:t>
      </w:r>
      <w:r w:rsidR="0086507F" w:rsidRPr="006C2C71">
        <w:rPr>
          <w:bCs/>
          <w:i/>
          <w:iCs/>
        </w:rPr>
        <w:t xml:space="preserve"> the EDV threshold to maintain incentives for investment in plant breeding and the development of new varieties in Australia?</w:t>
      </w:r>
    </w:p>
    <w:p w14:paraId="3D01FDF8" w14:textId="54A78E27" w:rsidR="0086507F" w:rsidRPr="007B0EED" w:rsidRDefault="007B0EED" w:rsidP="007B0EED">
      <w:pPr>
        <w:pStyle w:val="Heading2"/>
        <w:rPr>
          <w:rFonts w:cstheme="majorBidi"/>
          <w:bCs/>
          <w:kern w:val="0"/>
          <w:sz w:val="30"/>
          <w:szCs w:val="28"/>
        </w:rPr>
      </w:pPr>
      <w:r w:rsidRPr="007B0EED">
        <w:rPr>
          <w:rFonts w:cstheme="majorBidi"/>
          <w:bCs/>
          <w:kern w:val="0"/>
          <w:sz w:val="30"/>
          <w:szCs w:val="28"/>
        </w:rPr>
        <w:lastRenderedPageBreak/>
        <w:t>Improving</w:t>
      </w:r>
      <w:r w:rsidR="0086507F" w:rsidRPr="007B0EED">
        <w:rPr>
          <w:rFonts w:cstheme="majorBidi"/>
          <w:bCs/>
          <w:kern w:val="0"/>
          <w:sz w:val="30"/>
          <w:szCs w:val="28"/>
        </w:rPr>
        <w:t xml:space="preserve"> the EDV process</w:t>
      </w:r>
    </w:p>
    <w:p w14:paraId="32D3955E" w14:textId="33EA34B1" w:rsidR="0086507F" w:rsidRDefault="00CC7113" w:rsidP="004D6A77">
      <w:pPr>
        <w:ind w:right="169"/>
        <w:jc w:val="both"/>
        <w:rPr>
          <w:bCs/>
        </w:rPr>
      </w:pPr>
      <w:r w:rsidRPr="005E5FEB">
        <w:rPr>
          <w:bCs/>
        </w:rPr>
        <w:t>The</w:t>
      </w:r>
      <w:r>
        <w:rPr>
          <w:bCs/>
        </w:rPr>
        <w:t xml:space="preserve"> PBR</w:t>
      </w:r>
      <w:r w:rsidRPr="005E5FEB">
        <w:rPr>
          <w:bCs/>
        </w:rPr>
        <w:t xml:space="preserve"> Act s</w:t>
      </w:r>
      <w:r>
        <w:rPr>
          <w:bCs/>
        </w:rPr>
        <w:t xml:space="preserve">ets out </w:t>
      </w:r>
      <w:r w:rsidRPr="005E5FEB">
        <w:rPr>
          <w:bCs/>
        </w:rPr>
        <w:t>the process for applications and determinations of essential derivation for protected varieties (sections 40 – 41) and non-protected varieties (sections 41A – 41F).</w:t>
      </w:r>
      <w:r w:rsidR="00E314AC">
        <w:rPr>
          <w:bCs/>
        </w:rPr>
        <w:t xml:space="preserve"> IP Australia </w:t>
      </w:r>
      <w:r w:rsidR="00E314AC" w:rsidRPr="00F80A99">
        <w:t>seeks views on</w:t>
      </w:r>
      <w:r w:rsidR="00E314AC" w:rsidRPr="00AD4F20">
        <w:rPr>
          <w:bCs/>
        </w:rPr>
        <w:t xml:space="preserve"> </w:t>
      </w:r>
      <w:r w:rsidR="00E314AC" w:rsidRPr="00F80A99">
        <w:t xml:space="preserve">possible </w:t>
      </w:r>
      <w:r w:rsidR="00E314AC" w:rsidRPr="00AD4F20">
        <w:rPr>
          <w:bCs/>
        </w:rPr>
        <w:t>improvements to the EDV process.</w:t>
      </w:r>
    </w:p>
    <w:p w14:paraId="0182D13C" w14:textId="2D607AA7" w:rsidR="0086507F" w:rsidRDefault="0086507F" w:rsidP="009F4A79">
      <w:pPr>
        <w:jc w:val="both"/>
        <w:rPr>
          <w:bCs/>
        </w:rPr>
      </w:pPr>
      <w:r w:rsidRPr="005E5FEB">
        <w:rPr>
          <w:bCs/>
        </w:rPr>
        <w:t xml:space="preserve">The University of Queensland noted in </w:t>
      </w:r>
      <w:r w:rsidR="00902BFF" w:rsidRPr="00902BFF">
        <w:t>its</w:t>
      </w:r>
      <w:r w:rsidRPr="005E5FEB">
        <w:rPr>
          <w:bCs/>
        </w:rPr>
        <w:t xml:space="preserve"> independent research report on EDVs that </w:t>
      </w:r>
      <w:r w:rsidR="00902BFF" w:rsidRPr="00902BFF">
        <w:t>stakeholders</w:t>
      </w:r>
      <w:r w:rsidRPr="005E5FEB">
        <w:rPr>
          <w:bCs/>
        </w:rPr>
        <w:t xml:space="preserve"> lack awareness and understanding </w:t>
      </w:r>
      <w:r w:rsidR="00902BFF" w:rsidRPr="00902BFF">
        <w:t>of</w:t>
      </w:r>
      <w:r w:rsidRPr="005E5FEB">
        <w:rPr>
          <w:bCs/>
        </w:rPr>
        <w:t xml:space="preserve"> the PBR Act </w:t>
      </w:r>
      <w:r w:rsidR="00902BFF" w:rsidRPr="00902BFF">
        <w:t>generally</w:t>
      </w:r>
      <w:r w:rsidRPr="005E5FEB">
        <w:rPr>
          <w:bCs/>
        </w:rPr>
        <w:t xml:space="preserve"> and EDVs specifically. </w:t>
      </w:r>
      <w:r w:rsidRPr="00077D80">
        <w:rPr>
          <w:bCs/>
        </w:rPr>
        <w:t xml:space="preserve">Stakeholders have </w:t>
      </w:r>
      <w:r w:rsidR="00902BFF" w:rsidRPr="00902BFF">
        <w:t>also</w:t>
      </w:r>
      <w:r w:rsidRPr="00077D80">
        <w:rPr>
          <w:bCs/>
        </w:rPr>
        <w:t xml:space="preserve"> raised concerns about limited guidance and information on how the EDV framework operates in practice. IP Australia </w:t>
      </w:r>
      <w:r w:rsidR="00482D40">
        <w:rPr>
          <w:bCs/>
        </w:rPr>
        <w:t>welcomes</w:t>
      </w:r>
      <w:r w:rsidRPr="00077D80">
        <w:rPr>
          <w:bCs/>
        </w:rPr>
        <w:t xml:space="preserve"> views on whether additional guidance, greater transparency or changes to current processes would </w:t>
      </w:r>
      <w:r w:rsidR="00902BFF" w:rsidRPr="00902BFF">
        <w:t>help</w:t>
      </w:r>
      <w:r w:rsidRPr="00077D80">
        <w:rPr>
          <w:bCs/>
        </w:rPr>
        <w:t xml:space="preserve"> users </w:t>
      </w:r>
      <w:r w:rsidR="00902BFF" w:rsidRPr="00902BFF">
        <w:t>navigate</w:t>
      </w:r>
      <w:r w:rsidRPr="00077D80">
        <w:rPr>
          <w:bCs/>
        </w:rPr>
        <w:t xml:space="preserve"> the system and improve confidence in EDV outcomes.</w:t>
      </w:r>
    </w:p>
    <w:p w14:paraId="0D40D4CB" w14:textId="44731EE2" w:rsidR="009F4A79" w:rsidRPr="005E5FEB" w:rsidRDefault="009F4A79" w:rsidP="009F4A79">
      <w:pPr>
        <w:jc w:val="both"/>
        <w:rPr>
          <w:bCs/>
          <w:i/>
          <w:iCs/>
        </w:rPr>
      </w:pPr>
      <w:r w:rsidRPr="005E5FEB">
        <w:rPr>
          <w:bCs/>
          <w:i/>
          <w:iCs/>
        </w:rPr>
        <w:t>Consultation questions</w:t>
      </w:r>
    </w:p>
    <w:p w14:paraId="0DEF0128" w14:textId="031BF5BF" w:rsidR="0086507F" w:rsidRPr="00CB0DE8" w:rsidRDefault="0086507F" w:rsidP="00896FEC">
      <w:pPr>
        <w:pStyle w:val="ListParagraph"/>
        <w:numPr>
          <w:ilvl w:val="0"/>
          <w:numId w:val="24"/>
        </w:numPr>
        <w:rPr>
          <w:bCs/>
          <w:i/>
          <w:iCs/>
        </w:rPr>
      </w:pPr>
      <w:r w:rsidRPr="00CB0DE8">
        <w:rPr>
          <w:bCs/>
          <w:i/>
          <w:iCs/>
        </w:rPr>
        <w:t xml:space="preserve">What information </w:t>
      </w:r>
      <w:r w:rsidR="00730669" w:rsidRPr="00CB0DE8">
        <w:rPr>
          <w:i/>
          <w:iCs/>
        </w:rPr>
        <w:t>should IP Australia make</w:t>
      </w:r>
      <w:r w:rsidRPr="00CB0DE8">
        <w:rPr>
          <w:bCs/>
          <w:i/>
          <w:iCs/>
        </w:rPr>
        <w:t xml:space="preserve"> available about the EDV process and EDV decisions? For example, would more detailed guidelines</w:t>
      </w:r>
      <w:r w:rsidR="00730669" w:rsidRPr="00CB0DE8">
        <w:rPr>
          <w:i/>
          <w:iCs/>
        </w:rPr>
        <w:t xml:space="preserve"> help</w:t>
      </w:r>
      <w:r w:rsidRPr="00CB0DE8">
        <w:rPr>
          <w:bCs/>
          <w:i/>
          <w:iCs/>
        </w:rPr>
        <w:t>?</w:t>
      </w:r>
    </w:p>
    <w:p w14:paraId="7F613153" w14:textId="143A3B02" w:rsidR="0086507F" w:rsidRPr="00CB0DE8" w:rsidRDefault="0086507F" w:rsidP="00896FEC">
      <w:pPr>
        <w:pStyle w:val="ListParagraph"/>
        <w:numPr>
          <w:ilvl w:val="0"/>
          <w:numId w:val="24"/>
        </w:numPr>
        <w:rPr>
          <w:bCs/>
          <w:i/>
          <w:iCs/>
        </w:rPr>
      </w:pPr>
      <w:r w:rsidRPr="00CB0DE8">
        <w:rPr>
          <w:bCs/>
          <w:i/>
          <w:iCs/>
        </w:rPr>
        <w:t xml:space="preserve">Would more information about concepts such as ‘predominant derivation’, ‘essential characteristics’ or ‘important features’ </w:t>
      </w:r>
      <w:r w:rsidR="002A2CED" w:rsidRPr="00CB0DE8">
        <w:rPr>
          <w:i/>
          <w:iCs/>
        </w:rPr>
        <w:t>reduce</w:t>
      </w:r>
      <w:r w:rsidRPr="00CB0DE8">
        <w:rPr>
          <w:bCs/>
          <w:i/>
          <w:iCs/>
        </w:rPr>
        <w:t xml:space="preserve"> uncertainty </w:t>
      </w:r>
      <w:r w:rsidR="002A2CED" w:rsidRPr="00CB0DE8">
        <w:rPr>
          <w:i/>
          <w:iCs/>
        </w:rPr>
        <w:t>about</w:t>
      </w:r>
      <w:r w:rsidRPr="00CB0DE8">
        <w:rPr>
          <w:bCs/>
          <w:i/>
          <w:iCs/>
        </w:rPr>
        <w:t xml:space="preserve"> terminology?</w:t>
      </w:r>
    </w:p>
    <w:p w14:paraId="35769ABA" w14:textId="16F38AB3" w:rsidR="00692E52" w:rsidRDefault="00692E52" w:rsidP="003754D9">
      <w:pPr>
        <w:jc w:val="both"/>
        <w:rPr>
          <w:bCs/>
          <w:u w:val="single"/>
        </w:rPr>
      </w:pPr>
      <w:r>
        <w:rPr>
          <w:bCs/>
          <w:u w:val="single"/>
        </w:rPr>
        <w:t>Publishing EDV decisions</w:t>
      </w:r>
    </w:p>
    <w:p w14:paraId="28515457" w14:textId="4FA387E9" w:rsidR="0086507F" w:rsidRPr="000E77B6" w:rsidRDefault="00341AAE" w:rsidP="000E77B6">
      <w:pPr>
        <w:jc w:val="both"/>
        <w:rPr>
          <w:bCs/>
        </w:rPr>
      </w:pPr>
      <w:r w:rsidRPr="00341AAE">
        <w:t xml:space="preserve">The </w:t>
      </w:r>
      <w:r w:rsidR="00741FE9">
        <w:t xml:space="preserve">PBR </w:t>
      </w:r>
      <w:r w:rsidRPr="00341AAE">
        <w:t>Registrar does not currently publish</w:t>
      </w:r>
      <w:r w:rsidR="0086507F" w:rsidRPr="000E77B6">
        <w:rPr>
          <w:bCs/>
        </w:rPr>
        <w:t xml:space="preserve"> EDV assessments, and there is limited public guidance </w:t>
      </w:r>
      <w:r w:rsidR="00DF3582">
        <w:rPr>
          <w:bCs/>
        </w:rPr>
        <w:t>on</w:t>
      </w:r>
      <w:r w:rsidR="0086507F" w:rsidRPr="000E77B6">
        <w:rPr>
          <w:bCs/>
        </w:rPr>
        <w:t xml:space="preserve"> how the </w:t>
      </w:r>
      <w:r w:rsidRPr="00341AAE">
        <w:t xml:space="preserve">Registrar applies the </w:t>
      </w:r>
      <w:r w:rsidR="0086507F" w:rsidRPr="000E77B6">
        <w:rPr>
          <w:bCs/>
        </w:rPr>
        <w:t xml:space="preserve">EDV test in practice. This may make it difficult for breeders and rights holders to understand how </w:t>
      </w:r>
      <w:r w:rsidRPr="00341AAE">
        <w:t xml:space="preserve">previous matters have interpreted </w:t>
      </w:r>
      <w:r w:rsidR="0086507F" w:rsidRPr="000E77B6">
        <w:rPr>
          <w:bCs/>
        </w:rPr>
        <w:t>key concepts such as “predominantly derived”, “essential characteristics” and “important features</w:t>
      </w:r>
      <w:r w:rsidRPr="00341AAE">
        <w:t>”.</w:t>
      </w:r>
    </w:p>
    <w:p w14:paraId="03F1A2E5" w14:textId="1D0A31CE" w:rsidR="0086507F" w:rsidRPr="000E77B6" w:rsidRDefault="0086507F" w:rsidP="000E77B6">
      <w:pPr>
        <w:jc w:val="both"/>
        <w:rPr>
          <w:bCs/>
        </w:rPr>
      </w:pPr>
      <w:r w:rsidRPr="000E77B6">
        <w:rPr>
          <w:bCs/>
        </w:rPr>
        <w:t xml:space="preserve">Publishing EDV decisions, or summaries of decisions, could improve transparency and provide practical guidance </w:t>
      </w:r>
      <w:r w:rsidR="00506F2F" w:rsidRPr="00506F2F">
        <w:t>on</w:t>
      </w:r>
      <w:r w:rsidRPr="000E77B6">
        <w:rPr>
          <w:bCs/>
        </w:rPr>
        <w:t xml:space="preserve"> the types of evidence </w:t>
      </w:r>
      <w:r w:rsidR="00506F2F" w:rsidRPr="00506F2F">
        <w:t>the Registrar considers</w:t>
      </w:r>
      <w:r w:rsidRPr="000E77B6">
        <w:rPr>
          <w:bCs/>
        </w:rPr>
        <w:t xml:space="preserve"> relevant to EDV applications. It may also </w:t>
      </w:r>
      <w:r w:rsidR="00506F2F" w:rsidRPr="00506F2F">
        <w:t>help</w:t>
      </w:r>
      <w:r w:rsidRPr="000E77B6">
        <w:rPr>
          <w:bCs/>
        </w:rPr>
        <w:t xml:space="preserve"> stakeholders assess whether to seek an EDV declaration and support greater consistency in future decision-making. However, EDV matters may involve commercially sensitive technical, genetic or market information. </w:t>
      </w:r>
      <w:r w:rsidR="00506F2F" w:rsidRPr="00506F2F">
        <w:t>IP Australia</w:t>
      </w:r>
      <w:r w:rsidRPr="000E77B6">
        <w:rPr>
          <w:bCs/>
        </w:rPr>
        <w:t xml:space="preserve"> would therefore need to consider whether </w:t>
      </w:r>
      <w:r w:rsidR="00506F2F" w:rsidRPr="00506F2F">
        <w:t xml:space="preserve">to publish </w:t>
      </w:r>
      <w:r w:rsidRPr="000E77B6">
        <w:rPr>
          <w:bCs/>
        </w:rPr>
        <w:t>decisions in full, in redacted form, or as de-identified summaries.</w:t>
      </w:r>
    </w:p>
    <w:p w14:paraId="760824DD" w14:textId="50A688BB" w:rsidR="0086507F" w:rsidRDefault="0086507F" w:rsidP="000E77B6">
      <w:pPr>
        <w:jc w:val="both"/>
        <w:rPr>
          <w:bCs/>
        </w:rPr>
      </w:pPr>
      <w:r w:rsidRPr="000E77B6">
        <w:rPr>
          <w:bCs/>
        </w:rPr>
        <w:t xml:space="preserve">IP Australia </w:t>
      </w:r>
      <w:r w:rsidR="00A51177" w:rsidRPr="00A51177">
        <w:t>seeks</w:t>
      </w:r>
      <w:r w:rsidRPr="000E77B6">
        <w:rPr>
          <w:bCs/>
        </w:rPr>
        <w:t xml:space="preserve"> stakeholder views on whether publishing EDV decisions would improve certainty and confidence in the EDV system, and what information would be most useful to make publicly available.</w:t>
      </w:r>
    </w:p>
    <w:p w14:paraId="2265807B" w14:textId="25071674" w:rsidR="00692E52" w:rsidRPr="005E5FEB" w:rsidRDefault="00692E52" w:rsidP="000E77B6">
      <w:pPr>
        <w:jc w:val="both"/>
        <w:rPr>
          <w:bCs/>
          <w:i/>
          <w:iCs/>
        </w:rPr>
      </w:pPr>
      <w:r w:rsidRPr="005E5FEB">
        <w:rPr>
          <w:bCs/>
          <w:i/>
          <w:iCs/>
        </w:rPr>
        <w:t>Consultation questions</w:t>
      </w:r>
    </w:p>
    <w:p w14:paraId="23723468" w14:textId="3322E3CF" w:rsidR="0086507F" w:rsidRPr="007A7CED" w:rsidRDefault="00167F76" w:rsidP="00896FEC">
      <w:pPr>
        <w:pStyle w:val="ListParagraph"/>
        <w:numPr>
          <w:ilvl w:val="0"/>
          <w:numId w:val="24"/>
        </w:numPr>
        <w:rPr>
          <w:bCs/>
          <w:i/>
          <w:iCs/>
        </w:rPr>
      </w:pPr>
      <w:r w:rsidRPr="007A7CED">
        <w:rPr>
          <w:i/>
          <w:iCs/>
        </w:rPr>
        <w:t>Would publishing</w:t>
      </w:r>
      <w:r w:rsidR="0086507F" w:rsidRPr="007A7CED">
        <w:rPr>
          <w:bCs/>
          <w:i/>
          <w:iCs/>
        </w:rPr>
        <w:t xml:space="preserve"> EDV decisions</w:t>
      </w:r>
      <w:r w:rsidRPr="007A7CED">
        <w:rPr>
          <w:i/>
          <w:iCs/>
        </w:rPr>
        <w:t xml:space="preserve"> be useful?</w:t>
      </w:r>
    </w:p>
    <w:p w14:paraId="5B1210B2" w14:textId="2E209B03" w:rsidR="0086507F" w:rsidRPr="00DC1511" w:rsidRDefault="0086507F" w:rsidP="00896FEC">
      <w:pPr>
        <w:pStyle w:val="ListParagraph"/>
        <w:numPr>
          <w:ilvl w:val="0"/>
          <w:numId w:val="24"/>
        </w:numPr>
        <w:rPr>
          <w:bCs/>
          <w:i/>
          <w:iCs/>
        </w:rPr>
      </w:pPr>
      <w:r w:rsidRPr="007A7CED">
        <w:rPr>
          <w:bCs/>
          <w:i/>
          <w:iCs/>
        </w:rPr>
        <w:t xml:space="preserve">If </w:t>
      </w:r>
      <w:r w:rsidR="00D862E2" w:rsidRPr="007A7CED">
        <w:rPr>
          <w:i/>
          <w:iCs/>
        </w:rPr>
        <w:t xml:space="preserve">IP Australia published </w:t>
      </w:r>
      <w:r w:rsidRPr="007A7CED">
        <w:rPr>
          <w:bCs/>
          <w:i/>
          <w:iCs/>
        </w:rPr>
        <w:t xml:space="preserve">EDV decisions, what level of detail should </w:t>
      </w:r>
      <w:r w:rsidR="00D862E2" w:rsidRPr="007A7CED">
        <w:rPr>
          <w:i/>
          <w:iCs/>
        </w:rPr>
        <w:t>it make</w:t>
      </w:r>
      <w:r w:rsidRPr="007A7CED">
        <w:rPr>
          <w:bCs/>
          <w:i/>
          <w:iCs/>
        </w:rPr>
        <w:t xml:space="preserve"> publicly available? For example, should </w:t>
      </w:r>
      <w:r w:rsidR="00D862E2" w:rsidRPr="007A7CED">
        <w:rPr>
          <w:i/>
          <w:iCs/>
        </w:rPr>
        <w:t xml:space="preserve">IP Australia publish </w:t>
      </w:r>
      <w:r w:rsidRPr="007A7CED">
        <w:rPr>
          <w:bCs/>
          <w:i/>
          <w:iCs/>
        </w:rPr>
        <w:t xml:space="preserve">decisions in full, in redacted form, as de-identified summaries, or through </w:t>
      </w:r>
      <w:r w:rsidR="00D862E2" w:rsidRPr="007A7CED">
        <w:rPr>
          <w:i/>
          <w:iCs/>
        </w:rPr>
        <w:t>another</w:t>
      </w:r>
      <w:r w:rsidRPr="007A7CED">
        <w:rPr>
          <w:bCs/>
          <w:i/>
          <w:iCs/>
        </w:rPr>
        <w:t xml:space="preserve"> approach</w:t>
      </w:r>
      <w:r w:rsidRPr="00DC1511">
        <w:rPr>
          <w:bCs/>
          <w:i/>
          <w:iCs/>
        </w:rPr>
        <w:t>? Please explain your reasons.</w:t>
      </w:r>
    </w:p>
    <w:p w14:paraId="2B78B1F7" w14:textId="1D26EF89" w:rsidR="00597C91" w:rsidRPr="00597C91" w:rsidRDefault="00597C91" w:rsidP="00A273BE">
      <w:pPr>
        <w:tabs>
          <w:tab w:val="left" w:pos="1276"/>
        </w:tabs>
        <w:jc w:val="both"/>
        <w:rPr>
          <w:bCs/>
          <w:u w:val="single"/>
        </w:rPr>
      </w:pPr>
      <w:r>
        <w:rPr>
          <w:bCs/>
          <w:u w:val="single"/>
        </w:rPr>
        <w:t>The decision maker</w:t>
      </w:r>
    </w:p>
    <w:p w14:paraId="12F88B97" w14:textId="07EA58F8" w:rsidR="0086507F" w:rsidRPr="003754D9" w:rsidRDefault="0086507F" w:rsidP="003754D9">
      <w:pPr>
        <w:jc w:val="both"/>
        <w:rPr>
          <w:bCs/>
        </w:rPr>
      </w:pPr>
      <w:r w:rsidRPr="003754D9">
        <w:rPr>
          <w:bCs/>
        </w:rPr>
        <w:t xml:space="preserve">Australia is the only UPOV member </w:t>
      </w:r>
      <w:r w:rsidR="006D752D">
        <w:t>where</w:t>
      </w:r>
      <w:r w:rsidRPr="003754D9">
        <w:rPr>
          <w:bCs/>
        </w:rPr>
        <w:t xml:space="preserve"> the</w:t>
      </w:r>
      <w:r>
        <w:rPr>
          <w:bCs/>
        </w:rPr>
        <w:t xml:space="preserve"> PBR</w:t>
      </w:r>
      <w:r w:rsidRPr="003754D9">
        <w:rPr>
          <w:bCs/>
        </w:rPr>
        <w:t xml:space="preserve"> </w:t>
      </w:r>
      <w:r>
        <w:rPr>
          <w:bCs/>
        </w:rPr>
        <w:t xml:space="preserve">Registrar </w:t>
      </w:r>
      <w:r w:rsidRPr="003754D9">
        <w:rPr>
          <w:bCs/>
        </w:rPr>
        <w:t xml:space="preserve">has a role in determining whether a variety is essentially derived. In other jurisdictions, </w:t>
      </w:r>
      <w:r w:rsidR="00B67821" w:rsidRPr="00B67821">
        <w:t xml:space="preserve">courts generally determine </w:t>
      </w:r>
      <w:r w:rsidRPr="003754D9">
        <w:rPr>
          <w:bCs/>
        </w:rPr>
        <w:t>EDV status in disputes between the relevant rights holders</w:t>
      </w:r>
      <w:r w:rsidR="006D752D">
        <w:rPr>
          <w:bCs/>
        </w:rPr>
        <w:t>,</w:t>
      </w:r>
      <w:r>
        <w:t xml:space="preserve"> if the </w:t>
      </w:r>
      <w:r w:rsidR="00B67821" w:rsidRPr="00B67821">
        <w:t>parties</w:t>
      </w:r>
      <w:r>
        <w:t xml:space="preserve"> cannot </w:t>
      </w:r>
      <w:r w:rsidR="00B67821" w:rsidRPr="00B67821">
        <w:t xml:space="preserve">resolve the </w:t>
      </w:r>
      <w:r>
        <w:t>matter through private negotiations</w:t>
      </w:r>
      <w:r w:rsidRPr="003754D9">
        <w:rPr>
          <w:bCs/>
        </w:rPr>
        <w:t>.</w:t>
      </w:r>
    </w:p>
    <w:p w14:paraId="13F58C4D" w14:textId="1E6578D5" w:rsidR="0086507F" w:rsidRPr="003754D9" w:rsidRDefault="0086507F" w:rsidP="003754D9">
      <w:pPr>
        <w:jc w:val="both"/>
        <w:rPr>
          <w:bCs/>
        </w:rPr>
      </w:pPr>
      <w:r w:rsidRPr="00A273BE">
        <w:rPr>
          <w:bCs/>
        </w:rPr>
        <w:t>When assessing whether a variety meets the DUS requirements for registration</w:t>
      </w:r>
      <w:r w:rsidRPr="003754D9">
        <w:rPr>
          <w:bCs/>
        </w:rPr>
        <w:t>, the Registrar assesses whether it is distinct, uniform and stable. That assessment identifies differences between varieties but does not ordinarily require the Registrar to determine the performance, value or merit of those differences. By contrast, an EDV determination require</w:t>
      </w:r>
      <w:r>
        <w:rPr>
          <w:bCs/>
        </w:rPr>
        <w:t>s</w:t>
      </w:r>
      <w:r w:rsidRPr="003754D9">
        <w:rPr>
          <w:bCs/>
        </w:rPr>
        <w:t xml:space="preserve"> </w:t>
      </w:r>
      <w:r w:rsidR="00A2382B" w:rsidRPr="00A2382B">
        <w:t>the decision maker to consider</w:t>
      </w:r>
      <w:r w:rsidRPr="003754D9">
        <w:rPr>
          <w:bCs/>
        </w:rPr>
        <w:t xml:space="preserve"> whether a characteristic contributes to the principal </w:t>
      </w:r>
      <w:r w:rsidRPr="003754D9">
        <w:rPr>
          <w:bCs/>
        </w:rPr>
        <w:lastRenderedPageBreak/>
        <w:t>features, performance or value of a variety. This raises the question of whether courts, which routinely determine contested questions of fact and law on expert evidence, may be better placed to decide EDV disputes.</w:t>
      </w:r>
    </w:p>
    <w:p w14:paraId="185BAEF6" w14:textId="59994267" w:rsidR="0086507F" w:rsidRPr="00315C87" w:rsidRDefault="00E90454" w:rsidP="003754D9">
      <w:pPr>
        <w:jc w:val="both"/>
        <w:rPr>
          <w:kern w:val="2"/>
          <w:sz w:val="24"/>
          <w:szCs w:val="24"/>
          <w14:ligatures w14:val="standardContextual"/>
        </w:rPr>
      </w:pPr>
      <w:r w:rsidRPr="00E90454">
        <w:t>Court determination of</w:t>
      </w:r>
      <w:r w:rsidR="0086507F">
        <w:t xml:space="preserve"> EDV status may reduce the layers of appeal proceedings. Under the current process, </w:t>
      </w:r>
      <w:r w:rsidRPr="00E90454">
        <w:t>parties</w:t>
      </w:r>
      <w:r w:rsidR="0086507F">
        <w:t xml:space="preserve"> may </w:t>
      </w:r>
      <w:r w:rsidRPr="00E90454">
        <w:t>seek</w:t>
      </w:r>
      <w:r w:rsidR="0086507F">
        <w:t xml:space="preserve"> merits review </w:t>
      </w:r>
      <w:r w:rsidRPr="00E90454">
        <w:t xml:space="preserve">of </w:t>
      </w:r>
      <w:r w:rsidR="007325B1">
        <w:t>the</w:t>
      </w:r>
      <w:r w:rsidRPr="00E90454">
        <w:t xml:space="preserve"> Registrar’s decision </w:t>
      </w:r>
      <w:r w:rsidR="0086507F">
        <w:t xml:space="preserve">by the Administrative Review Tribunal and </w:t>
      </w:r>
      <w:r w:rsidRPr="00E90454">
        <w:t>then</w:t>
      </w:r>
      <w:r w:rsidR="0086507F">
        <w:t xml:space="preserve"> appeal to a court. </w:t>
      </w:r>
      <w:r w:rsidRPr="00E90454">
        <w:t xml:space="preserve">Moving EDV determinations to the courts </w:t>
      </w:r>
      <w:r w:rsidR="0086507F">
        <w:t>would also reduce legislative and procedural complexity in the PBR Act</w:t>
      </w:r>
      <w:r w:rsidR="007325B1">
        <w:t>, including</w:t>
      </w:r>
      <w:r w:rsidR="0086507F">
        <w:t xml:space="preserve"> the detailed administrative framework for EDV applications</w:t>
      </w:r>
      <w:r w:rsidRPr="00E90454">
        <w:t>. Courts</w:t>
      </w:r>
      <w:r w:rsidR="0086507F">
        <w:t xml:space="preserve"> already have established procedures for dealing with contested expert evidence, cross-examination and commercially sensitive information. The cost and seriousness of court proceedings may also encourage parties to assess the strength and value of their position before bringing or defending a claim, which could discourage weak or speculative matters.</w:t>
      </w:r>
    </w:p>
    <w:p w14:paraId="10664BDA" w14:textId="402011C7" w:rsidR="0086507F" w:rsidRDefault="000B2DF3" w:rsidP="008B414E">
      <w:pPr>
        <w:jc w:val="both"/>
      </w:pPr>
      <w:r w:rsidRPr="000B2DF3">
        <w:t xml:space="preserve">However, court </w:t>
      </w:r>
      <w:r w:rsidR="0086507F" w:rsidRPr="003754D9">
        <w:rPr>
          <w:bCs/>
        </w:rPr>
        <w:t>proceedings would</w:t>
      </w:r>
      <w:r w:rsidRPr="000B2DF3">
        <w:t xml:space="preserve"> cost</w:t>
      </w:r>
      <w:r w:rsidR="0086507F" w:rsidRPr="003754D9">
        <w:rPr>
          <w:bCs/>
        </w:rPr>
        <w:t xml:space="preserve"> more and </w:t>
      </w:r>
      <w:r w:rsidRPr="000B2DF3">
        <w:t>take longer</w:t>
      </w:r>
      <w:r w:rsidR="0086507F" w:rsidRPr="003754D9">
        <w:rPr>
          <w:bCs/>
        </w:rPr>
        <w:t xml:space="preserve"> than an administrative application to the Registrar. Those costs may make enforcement less accessible, particularly for smaller breeders. </w:t>
      </w:r>
      <w:r w:rsidRPr="000B2DF3">
        <w:t>Court</w:t>
      </w:r>
      <w:r w:rsidR="0086507F">
        <w:t xml:space="preserve"> determination </w:t>
      </w:r>
      <w:r w:rsidRPr="000B2DF3">
        <w:t>may not necessarily</w:t>
      </w:r>
      <w:r w:rsidR="0086507F">
        <w:t xml:space="preserve"> provide greater clarity in practice. Given the small number of EDV disputes and PBR court cases, </w:t>
      </w:r>
      <w:r w:rsidRPr="000B2DF3">
        <w:t xml:space="preserve">courts may take considerable time to develop </w:t>
      </w:r>
      <w:r w:rsidR="0086507F">
        <w:t>a substantial body of case law interpreting terms such as “essential characteristics” and “important features</w:t>
      </w:r>
      <w:r w:rsidRPr="000B2DF3">
        <w:t>”,</w:t>
      </w:r>
      <w:r w:rsidR="0086507F">
        <w:t xml:space="preserve"> and stakeholders may continue to seek greater specificity in legislation or additional guidance. Any move to court determination would therefore need to consider whether measures are required to preserve accessibility and provide sufficient certainty for users of the PBR system.</w:t>
      </w:r>
    </w:p>
    <w:p w14:paraId="3EEF1B75" w14:textId="5D469BC4" w:rsidR="0086507F" w:rsidRDefault="0086507F" w:rsidP="002E5A13">
      <w:pPr>
        <w:jc w:val="both"/>
        <w:rPr>
          <w:bCs/>
        </w:rPr>
      </w:pPr>
      <w:r>
        <w:t xml:space="preserve">The appropriate decision maker may also depend on what, if any, changes </w:t>
      </w:r>
      <w:r w:rsidR="001909EE" w:rsidRPr="001909EE">
        <w:t xml:space="preserve">IP Australia makes </w:t>
      </w:r>
      <w:r>
        <w:t>to the EDV provisions</w:t>
      </w:r>
      <w:r w:rsidR="001909EE" w:rsidRPr="001909EE">
        <w:t>.</w:t>
      </w:r>
      <w:r>
        <w:t xml:space="preserve"> For example, if </w:t>
      </w:r>
      <w:r w:rsidR="001909EE" w:rsidRPr="001909EE">
        <w:t xml:space="preserve">IP Australia changed </w:t>
      </w:r>
      <w:r>
        <w:t>the EDV threshold</w:t>
      </w:r>
      <w:r w:rsidR="001909EE" w:rsidRPr="001909EE">
        <w:t xml:space="preserve">, </w:t>
      </w:r>
      <w:r>
        <w:t xml:space="preserve">it may </w:t>
      </w:r>
      <w:r w:rsidR="001909EE" w:rsidRPr="001909EE">
        <w:t>need</w:t>
      </w:r>
      <w:r>
        <w:t xml:space="preserve"> to reconsider whether </w:t>
      </w:r>
      <w:r w:rsidR="001909EE" w:rsidRPr="001909EE">
        <w:t xml:space="preserve">the Registrar </w:t>
      </w:r>
      <w:r>
        <w:t xml:space="preserve">should continue to </w:t>
      </w:r>
      <w:r w:rsidR="001909EE" w:rsidRPr="001909EE">
        <w:t xml:space="preserve">determine EDV status </w:t>
      </w:r>
      <w:r>
        <w:t xml:space="preserve">administratively or </w:t>
      </w:r>
      <w:r w:rsidR="001909EE" w:rsidRPr="001909EE">
        <w:t>whether</w:t>
      </w:r>
      <w:r>
        <w:t xml:space="preserve"> a court </w:t>
      </w:r>
      <w:r w:rsidR="001909EE" w:rsidRPr="001909EE">
        <w:t xml:space="preserve">should determine disputes </w:t>
      </w:r>
      <w:r>
        <w:t>between the affected parties. IP Australia welcomes feedback on potential improvements to the EDV determination process.</w:t>
      </w:r>
    </w:p>
    <w:p w14:paraId="1030BAE2" w14:textId="77777777" w:rsidR="00FE4666" w:rsidRPr="00FE4666" w:rsidRDefault="00FE4666" w:rsidP="00FE4666">
      <w:pPr>
        <w:jc w:val="both"/>
        <w:rPr>
          <w:bCs/>
        </w:rPr>
      </w:pPr>
      <w:r w:rsidRPr="00FE4666">
        <w:rPr>
          <w:bCs/>
          <w:i/>
          <w:iCs/>
        </w:rPr>
        <w:t>Consultation questions</w:t>
      </w:r>
    </w:p>
    <w:p w14:paraId="5BD9FD9B" w14:textId="75190563" w:rsidR="00521B38" w:rsidRPr="00521B38" w:rsidRDefault="00F4760D" w:rsidP="00896FEC">
      <w:pPr>
        <w:pStyle w:val="ListParagraph"/>
        <w:numPr>
          <w:ilvl w:val="0"/>
          <w:numId w:val="24"/>
        </w:numPr>
        <w:rPr>
          <w:i/>
        </w:rPr>
      </w:pPr>
      <w:r w:rsidRPr="00F4760D">
        <w:rPr>
          <w:bCs/>
          <w:i/>
          <w:iCs/>
        </w:rPr>
        <w:t>Should the PBR Registrar continue to make EDV determinations, or should EDV disputes be determined by a court</w:t>
      </w:r>
      <w:r w:rsidR="0086507F" w:rsidRPr="00AA12D7">
        <w:rPr>
          <w:bCs/>
          <w:i/>
          <w:iCs/>
        </w:rPr>
        <w:t>?</w:t>
      </w:r>
      <w:r w:rsidR="001A7B5F">
        <w:rPr>
          <w:bCs/>
          <w:i/>
          <w:iCs/>
        </w:rPr>
        <w:t xml:space="preserve"> Please explain your reasons.</w:t>
      </w:r>
    </w:p>
    <w:p w14:paraId="60531379" w14:textId="2104DA3F" w:rsidR="0086507F" w:rsidRPr="00AA12D7" w:rsidRDefault="00507BB3" w:rsidP="00896FEC">
      <w:pPr>
        <w:pStyle w:val="ListParagraph"/>
        <w:numPr>
          <w:ilvl w:val="0"/>
          <w:numId w:val="24"/>
        </w:numPr>
        <w:rPr>
          <w:i/>
        </w:rPr>
      </w:pPr>
      <w:r w:rsidRPr="00AA12D7">
        <w:rPr>
          <w:i/>
          <w:iCs/>
        </w:rPr>
        <w:t>Would</w:t>
      </w:r>
      <w:r w:rsidR="0086507F" w:rsidRPr="00AA12D7">
        <w:rPr>
          <w:bCs/>
          <w:i/>
          <w:iCs/>
        </w:rPr>
        <w:t xml:space="preserve"> your </w:t>
      </w:r>
      <w:r w:rsidR="00521B38">
        <w:rPr>
          <w:bCs/>
          <w:i/>
          <w:iCs/>
        </w:rPr>
        <w:t xml:space="preserve">answer to </w:t>
      </w:r>
      <w:r w:rsidR="0064665F">
        <w:rPr>
          <w:bCs/>
          <w:i/>
          <w:iCs/>
        </w:rPr>
        <w:t>the previous question</w:t>
      </w:r>
      <w:r w:rsidR="00521B38" w:rsidRPr="00AA12D7">
        <w:rPr>
          <w:bCs/>
          <w:i/>
          <w:iCs/>
        </w:rPr>
        <w:t xml:space="preserve"> </w:t>
      </w:r>
      <w:r w:rsidR="0086507F" w:rsidRPr="00AA12D7">
        <w:rPr>
          <w:bCs/>
          <w:i/>
          <w:iCs/>
        </w:rPr>
        <w:t xml:space="preserve">differ if </w:t>
      </w:r>
      <w:r w:rsidRPr="00AA12D7">
        <w:rPr>
          <w:i/>
          <w:iCs/>
        </w:rPr>
        <w:t xml:space="preserve">IP Australia lowered </w:t>
      </w:r>
      <w:r w:rsidR="0086507F" w:rsidRPr="00AA12D7">
        <w:rPr>
          <w:bCs/>
          <w:i/>
          <w:iCs/>
        </w:rPr>
        <w:t>the threshold for establishing essential derivation</w:t>
      </w:r>
      <w:r w:rsidRPr="00AA12D7">
        <w:rPr>
          <w:i/>
          <w:iCs/>
        </w:rPr>
        <w:t>?</w:t>
      </w:r>
      <w:r w:rsidR="0086507F" w:rsidRPr="00AA12D7">
        <w:rPr>
          <w:bCs/>
          <w:i/>
          <w:iCs/>
        </w:rPr>
        <w:t xml:space="preserve"> Please explain.</w:t>
      </w:r>
    </w:p>
    <w:p w14:paraId="11FB486B" w14:textId="7294C604" w:rsidR="0086507F" w:rsidRPr="00AA12D7" w:rsidRDefault="0086507F" w:rsidP="00896FEC">
      <w:pPr>
        <w:pStyle w:val="ListParagraph"/>
        <w:numPr>
          <w:ilvl w:val="0"/>
          <w:numId w:val="24"/>
        </w:numPr>
        <w:rPr>
          <w:i/>
        </w:rPr>
      </w:pPr>
      <w:r w:rsidRPr="00AA12D7">
        <w:rPr>
          <w:bCs/>
          <w:i/>
          <w:iCs/>
        </w:rPr>
        <w:t xml:space="preserve">What costs, benefits and accessibility impacts </w:t>
      </w:r>
      <w:r w:rsidR="00A04142" w:rsidRPr="00AA12D7">
        <w:rPr>
          <w:i/>
          <w:iCs/>
        </w:rPr>
        <w:t>would</w:t>
      </w:r>
      <w:r w:rsidRPr="00AA12D7">
        <w:rPr>
          <w:bCs/>
          <w:i/>
          <w:iCs/>
        </w:rPr>
        <w:t xml:space="preserve"> </w:t>
      </w:r>
      <w:proofErr w:type="gramStart"/>
      <w:r w:rsidRPr="00AA12D7">
        <w:rPr>
          <w:bCs/>
          <w:i/>
          <w:iCs/>
        </w:rPr>
        <w:t>moving</w:t>
      </w:r>
      <w:proofErr w:type="gramEnd"/>
      <w:r w:rsidRPr="00AA12D7">
        <w:rPr>
          <w:bCs/>
          <w:i/>
          <w:iCs/>
        </w:rPr>
        <w:t xml:space="preserve"> EDV determinations to the courts</w:t>
      </w:r>
      <w:r w:rsidR="00A04142" w:rsidRPr="00AA12D7">
        <w:rPr>
          <w:i/>
          <w:iCs/>
        </w:rPr>
        <w:t xml:space="preserve"> have</w:t>
      </w:r>
      <w:r w:rsidRPr="00AA12D7">
        <w:rPr>
          <w:bCs/>
          <w:i/>
          <w:iCs/>
        </w:rPr>
        <w:t>, including for smaller breeders?</w:t>
      </w:r>
    </w:p>
    <w:p w14:paraId="6894CF81" w14:textId="77777777" w:rsidR="00A31EEC" w:rsidRPr="00DD7417" w:rsidRDefault="000F50B2" w:rsidP="00A31EEC">
      <w:pPr>
        <w:pStyle w:val="ListParagraph"/>
        <w:numPr>
          <w:ilvl w:val="0"/>
          <w:numId w:val="24"/>
        </w:numPr>
        <w:jc w:val="both"/>
      </w:pPr>
      <w:r w:rsidRPr="00A04FAA">
        <w:rPr>
          <w:i/>
          <w:iCs/>
        </w:rPr>
        <w:t>What</w:t>
      </w:r>
      <w:r w:rsidR="00077D80">
        <w:rPr>
          <w:bCs/>
          <w:i/>
          <w:iCs/>
        </w:rPr>
        <w:t xml:space="preserve"> other changes to the EDV process should </w:t>
      </w:r>
      <w:r w:rsidR="0086507F" w:rsidRPr="00A04FAA">
        <w:rPr>
          <w:bCs/>
          <w:i/>
          <w:iCs/>
        </w:rPr>
        <w:t xml:space="preserve">IP Australia </w:t>
      </w:r>
      <w:r w:rsidR="00077D80">
        <w:rPr>
          <w:bCs/>
          <w:i/>
          <w:iCs/>
        </w:rPr>
        <w:t>consider?</w:t>
      </w:r>
    </w:p>
    <w:p w14:paraId="284AC2CF" w14:textId="6BCC20AE" w:rsidR="00601BFA" w:rsidRPr="00DD7417" w:rsidRDefault="00A31EEC" w:rsidP="00A31EEC">
      <w:pPr>
        <w:pStyle w:val="ListParagraph"/>
        <w:numPr>
          <w:ilvl w:val="0"/>
          <w:numId w:val="24"/>
        </w:numPr>
        <w:jc w:val="both"/>
        <w:rPr>
          <w:bCs/>
          <w:i/>
          <w:iCs/>
        </w:rPr>
      </w:pPr>
      <w:r w:rsidRPr="00DD7417">
        <w:rPr>
          <w:bCs/>
          <w:i/>
          <w:iCs/>
        </w:rPr>
        <w:t>Do you have any other comments or concerns about Australia’s approach to EDVs that are not addressed in this paper?</w:t>
      </w:r>
    </w:p>
    <w:p w14:paraId="06F5BD6F" w14:textId="297985FE" w:rsidR="009E6034" w:rsidRDefault="009E6034">
      <w:pPr>
        <w:adjustRightInd/>
        <w:snapToGrid/>
        <w:spacing w:after="0" w:line="240" w:lineRule="atLeast"/>
      </w:pPr>
      <w:r>
        <w:br w:type="page"/>
      </w:r>
    </w:p>
    <w:p w14:paraId="2B4E599F" w14:textId="77777777" w:rsidR="007976EC" w:rsidRPr="007976EC" w:rsidRDefault="007976EC" w:rsidP="007976EC">
      <w:pPr>
        <w:pStyle w:val="Heading2"/>
      </w:pPr>
      <w:bookmarkStart w:id="3" w:name="_Consolidated_consultation_questions"/>
      <w:bookmarkEnd w:id="3"/>
      <w:r w:rsidRPr="007976EC">
        <w:lastRenderedPageBreak/>
        <w:t>Consolidated consultation questions</w:t>
      </w:r>
    </w:p>
    <w:p w14:paraId="5F23F257" w14:textId="73E94CBE" w:rsidR="00A53061" w:rsidRDefault="00A53061" w:rsidP="00FC0C6A">
      <w:pPr>
        <w:jc w:val="both"/>
        <w:rPr>
          <w:u w:val="single"/>
        </w:rPr>
      </w:pPr>
      <w:r w:rsidRPr="00DD7417">
        <w:t xml:space="preserve">Note: </w:t>
      </w:r>
      <w:r w:rsidRPr="001A5D47">
        <w:t>You may</w:t>
      </w:r>
      <w:r>
        <w:t xml:space="preserve"> answer some or all the questions. </w:t>
      </w:r>
      <w:r w:rsidRPr="00A53061">
        <w:t>You can also raise any relevant EDV issues that are not covered in this paper.</w:t>
      </w:r>
    </w:p>
    <w:p w14:paraId="17617FC4" w14:textId="2EDC93EF" w:rsidR="00FC0C6A" w:rsidRPr="00FC0C6A" w:rsidRDefault="00FC0C6A" w:rsidP="00FC0C6A">
      <w:pPr>
        <w:jc w:val="both"/>
        <w:rPr>
          <w:u w:val="single"/>
        </w:rPr>
      </w:pPr>
      <w:r w:rsidRPr="00FC0C6A">
        <w:rPr>
          <w:u w:val="single"/>
        </w:rPr>
        <w:t>Clarity of the EDV provisions</w:t>
      </w:r>
    </w:p>
    <w:p w14:paraId="126F4CFC" w14:textId="77777777" w:rsidR="00FC0C6A" w:rsidRPr="007976EC" w:rsidRDefault="00FC0C6A" w:rsidP="00FC0C6A">
      <w:pPr>
        <w:jc w:val="both"/>
        <w:rPr>
          <w:b/>
          <w:bCs/>
        </w:rPr>
      </w:pPr>
      <w:r w:rsidRPr="007976EC">
        <w:rPr>
          <w:b/>
          <w:bCs/>
        </w:rPr>
        <w:t>Important features</w:t>
      </w:r>
    </w:p>
    <w:p w14:paraId="4DA3AA6C" w14:textId="77777777" w:rsidR="00713EDE" w:rsidRDefault="00713EDE" w:rsidP="00713EDE">
      <w:pPr>
        <w:pStyle w:val="ListParagraph"/>
        <w:numPr>
          <w:ilvl w:val="0"/>
          <w:numId w:val="29"/>
        </w:numPr>
        <w:adjustRightInd/>
        <w:rPr>
          <w:color w:val="000000"/>
          <w:kern w:val="2"/>
          <w:szCs w:val="22"/>
          <w:lang w:eastAsia="en-AU"/>
          <w14:ligatures w14:val="standardContextual"/>
        </w:rPr>
      </w:pPr>
      <w:r w:rsidRPr="003C0208">
        <w:rPr>
          <w:bCs/>
          <w:i/>
          <w:iCs/>
        </w:rPr>
        <w:t xml:space="preserve">Do you </w:t>
      </w:r>
      <w:r>
        <w:rPr>
          <w:bCs/>
          <w:i/>
          <w:iCs/>
        </w:rPr>
        <w:t xml:space="preserve">agree </w:t>
      </w:r>
      <w:r>
        <w:rPr>
          <w:i/>
          <w:iCs/>
        </w:rPr>
        <w:t>that</w:t>
      </w:r>
      <w:r w:rsidRPr="003C0208">
        <w:rPr>
          <w:bCs/>
          <w:i/>
          <w:iCs/>
        </w:rPr>
        <w:t xml:space="preserve"> the term "important features</w:t>
      </w:r>
      <w:r>
        <w:rPr>
          <w:i/>
          <w:iCs/>
        </w:rPr>
        <w:t>" causes confusion?</w:t>
      </w:r>
      <w:r>
        <w:rPr>
          <w:bCs/>
          <w:i/>
          <w:iCs/>
        </w:rPr>
        <w:t xml:space="preserve"> If so, why?</w:t>
      </w:r>
    </w:p>
    <w:p w14:paraId="5423CC7D" w14:textId="4DB92D05" w:rsidR="00FC0C6A" w:rsidRPr="003C0208" w:rsidRDefault="00FC0C6A" w:rsidP="00896FEC">
      <w:pPr>
        <w:pStyle w:val="ListParagraph"/>
        <w:numPr>
          <w:ilvl w:val="0"/>
          <w:numId w:val="29"/>
        </w:numPr>
        <w:rPr>
          <w:bCs/>
          <w:i/>
          <w:iCs/>
        </w:rPr>
      </w:pPr>
      <w:r>
        <w:rPr>
          <w:bCs/>
          <w:i/>
          <w:iCs/>
        </w:rPr>
        <w:t>How would you define features that are important to a variety?</w:t>
      </w:r>
      <w:r w:rsidRPr="00BC1FEC">
        <w:rPr>
          <w:i/>
          <w:iCs/>
        </w:rPr>
        <w:t xml:space="preserve"> Please provide practical examples.</w:t>
      </w:r>
    </w:p>
    <w:p w14:paraId="7C68A70E" w14:textId="77777777" w:rsidR="00FC0C6A" w:rsidRPr="007976EC" w:rsidRDefault="00FC0C6A" w:rsidP="00FC0C6A">
      <w:pPr>
        <w:jc w:val="both"/>
        <w:rPr>
          <w:b/>
          <w:bCs/>
        </w:rPr>
      </w:pPr>
      <w:r w:rsidRPr="007976EC">
        <w:rPr>
          <w:b/>
          <w:bCs/>
        </w:rPr>
        <w:t>Essential characteristics</w:t>
      </w:r>
    </w:p>
    <w:p w14:paraId="02D76CFF" w14:textId="77777777" w:rsidR="00A04FAA" w:rsidRPr="00B644F3" w:rsidRDefault="00A04FAA" w:rsidP="00896FEC">
      <w:pPr>
        <w:pStyle w:val="ListParagraph"/>
        <w:numPr>
          <w:ilvl w:val="0"/>
          <w:numId w:val="29"/>
        </w:numPr>
        <w:rPr>
          <w:color w:val="000000"/>
          <w:kern w:val="2"/>
          <w:szCs w:val="22"/>
          <w:lang w:eastAsia="en-AU"/>
          <w14:ligatures w14:val="standardContextual"/>
        </w:rPr>
      </w:pPr>
      <w:r w:rsidRPr="00FA4AA0">
        <w:rPr>
          <w:i/>
          <w:iCs/>
          <w:color w:val="auto"/>
        </w:rPr>
        <w:t>Should IP Australia clarify</w:t>
      </w:r>
      <w:r w:rsidRPr="004C5452">
        <w:rPr>
          <w:i/>
          <w:iCs/>
        </w:rPr>
        <w:t xml:space="preserve"> the current definition of essential characteristics</w:t>
      </w:r>
      <w:r>
        <w:rPr>
          <w:i/>
          <w:iCs/>
        </w:rPr>
        <w:t xml:space="preserve"> in the PBR Act</w:t>
      </w:r>
      <w:r w:rsidRPr="00FA4AA0">
        <w:rPr>
          <w:i/>
          <w:iCs/>
          <w:color w:val="auto"/>
        </w:rPr>
        <w:t>?</w:t>
      </w:r>
      <w:r w:rsidRPr="004C5452">
        <w:rPr>
          <w:i/>
          <w:iCs/>
        </w:rPr>
        <w:t xml:space="preserve"> If so, should </w:t>
      </w:r>
      <w:r w:rsidRPr="00FA4AA0">
        <w:rPr>
          <w:i/>
          <w:iCs/>
          <w:color w:val="auto"/>
        </w:rPr>
        <w:t>IP Australia retain, amend</w:t>
      </w:r>
      <w:r w:rsidRPr="004709A4">
        <w:rPr>
          <w:i/>
          <w:color w:val="auto"/>
        </w:rPr>
        <w:t xml:space="preserve"> or </w:t>
      </w:r>
      <w:r w:rsidRPr="00FA4AA0">
        <w:rPr>
          <w:i/>
          <w:iCs/>
          <w:color w:val="auto"/>
        </w:rPr>
        <w:t>supplement it with</w:t>
      </w:r>
      <w:r w:rsidRPr="004709A4">
        <w:rPr>
          <w:i/>
          <w:color w:val="auto"/>
        </w:rPr>
        <w:t xml:space="preserve"> guidance, and why?</w:t>
      </w:r>
    </w:p>
    <w:p w14:paraId="1D7D1BB3" w14:textId="77777777" w:rsidR="00A04FAA" w:rsidRPr="00FB4C82" w:rsidRDefault="00A04FAA" w:rsidP="00896FEC">
      <w:pPr>
        <w:pStyle w:val="ListParagraph"/>
        <w:numPr>
          <w:ilvl w:val="0"/>
          <w:numId w:val="29"/>
        </w:numPr>
        <w:rPr>
          <w:color w:val="000000"/>
          <w:kern w:val="2"/>
          <w:szCs w:val="22"/>
          <w:lang w:eastAsia="en-AU"/>
          <w14:ligatures w14:val="standardContextual"/>
        </w:rPr>
      </w:pPr>
      <w:r>
        <w:rPr>
          <w:i/>
          <w:iCs/>
        </w:rPr>
        <w:t>Should</w:t>
      </w:r>
      <w:r w:rsidRPr="00377C10">
        <w:rPr>
          <w:i/>
          <w:iCs/>
        </w:rPr>
        <w:t xml:space="preserve"> IP Australia incorporate</w:t>
      </w:r>
      <w:r>
        <w:rPr>
          <w:i/>
          <w:iCs/>
        </w:rPr>
        <w:t xml:space="preserve"> the description of essential characteristics in the UPOV Explanatory Notes into the PBR Act or explanatory material to the Act</w:t>
      </w:r>
      <w:r w:rsidRPr="00377C10">
        <w:rPr>
          <w:i/>
          <w:iCs/>
        </w:rPr>
        <w:t>?</w:t>
      </w:r>
      <w:r>
        <w:rPr>
          <w:i/>
          <w:iCs/>
        </w:rPr>
        <w:t xml:space="preserve"> If you favour this approach, should </w:t>
      </w:r>
      <w:r w:rsidRPr="00377C10">
        <w:rPr>
          <w:i/>
          <w:iCs/>
        </w:rPr>
        <w:t xml:space="preserve">IP Australia incorporate </w:t>
      </w:r>
      <w:r>
        <w:rPr>
          <w:i/>
          <w:iCs/>
        </w:rPr>
        <w:t>the description in full or only in part? Please explain why.</w:t>
      </w:r>
    </w:p>
    <w:p w14:paraId="65EDD603" w14:textId="77777777" w:rsidR="00FC0C6A" w:rsidRPr="007976EC" w:rsidRDefault="00FC0C6A" w:rsidP="00FC0C6A">
      <w:pPr>
        <w:jc w:val="both"/>
        <w:rPr>
          <w:b/>
          <w:bCs/>
        </w:rPr>
      </w:pPr>
      <w:r w:rsidRPr="007976EC">
        <w:rPr>
          <w:b/>
          <w:bCs/>
        </w:rPr>
        <w:t>Relationship between important features and essential characteristics</w:t>
      </w:r>
    </w:p>
    <w:p w14:paraId="70382D8B" w14:textId="185085D2" w:rsidR="00FC0C6A" w:rsidRPr="00563F69" w:rsidRDefault="00FC0C6A" w:rsidP="00896FEC">
      <w:pPr>
        <w:pStyle w:val="ListParagraph"/>
        <w:numPr>
          <w:ilvl w:val="0"/>
          <w:numId w:val="29"/>
        </w:numPr>
        <w:rPr>
          <w:bCs/>
          <w:i/>
          <w:iCs/>
        </w:rPr>
      </w:pPr>
      <w:r w:rsidRPr="0005391D">
        <w:rPr>
          <w:i/>
          <w:iCs/>
        </w:rPr>
        <w:t xml:space="preserve">Do you think </w:t>
      </w:r>
      <w:r w:rsidR="00A04FAA">
        <w:rPr>
          <w:i/>
          <w:iCs/>
        </w:rPr>
        <w:t>the</w:t>
      </w:r>
      <w:r w:rsidR="00A04FAA" w:rsidRPr="007240FC">
        <w:rPr>
          <w:i/>
          <w:iCs/>
        </w:rPr>
        <w:t xml:space="preserve"> </w:t>
      </w:r>
      <w:r>
        <w:rPr>
          <w:i/>
          <w:iCs/>
        </w:rPr>
        <w:t xml:space="preserve">reference to </w:t>
      </w:r>
      <w:r w:rsidRPr="0005391D">
        <w:rPr>
          <w:i/>
          <w:iCs/>
        </w:rPr>
        <w:t xml:space="preserve">‘important </w:t>
      </w:r>
      <w:proofErr w:type="gramStart"/>
      <w:r w:rsidRPr="0005391D">
        <w:rPr>
          <w:i/>
          <w:iCs/>
        </w:rPr>
        <w:t>features’</w:t>
      </w:r>
      <w:proofErr w:type="gramEnd"/>
      <w:r>
        <w:rPr>
          <w:i/>
          <w:iCs/>
        </w:rPr>
        <w:t>:</w:t>
      </w:r>
      <w:r w:rsidRPr="0005391D">
        <w:rPr>
          <w:i/>
          <w:iCs/>
        </w:rPr>
        <w:t xml:space="preserve"> </w:t>
      </w:r>
    </w:p>
    <w:p w14:paraId="36382263" w14:textId="642A80CF" w:rsidR="00FC0C6A" w:rsidRDefault="00FC0C6A" w:rsidP="00FC0C6A">
      <w:pPr>
        <w:pStyle w:val="ListParagraph"/>
        <w:rPr>
          <w:i/>
          <w:iCs/>
        </w:rPr>
      </w:pPr>
      <w:r w:rsidRPr="0005391D">
        <w:rPr>
          <w:i/>
          <w:iCs/>
        </w:rPr>
        <w:t xml:space="preserve">(a) imposes additional requirements </w:t>
      </w:r>
      <w:r w:rsidR="00A04FAA" w:rsidRPr="000065D5">
        <w:rPr>
          <w:i/>
          <w:iCs/>
        </w:rPr>
        <w:t>beyond</w:t>
      </w:r>
      <w:r w:rsidRPr="0005391D">
        <w:rPr>
          <w:i/>
          <w:iCs/>
        </w:rPr>
        <w:t xml:space="preserve"> the ‘essential characteristic’ requirement</w:t>
      </w:r>
      <w:r w:rsidR="00A04FAA" w:rsidRPr="0005391D">
        <w:rPr>
          <w:i/>
          <w:iCs/>
        </w:rPr>
        <w:t>,</w:t>
      </w:r>
      <w:r w:rsidRPr="0005391D">
        <w:rPr>
          <w:i/>
          <w:iCs/>
        </w:rPr>
        <w:t xml:space="preserve"> </w:t>
      </w:r>
    </w:p>
    <w:p w14:paraId="228BF13B" w14:textId="77777777" w:rsidR="00FC0C6A" w:rsidRDefault="00FC0C6A" w:rsidP="00FC0C6A">
      <w:pPr>
        <w:pStyle w:val="ListParagraph"/>
        <w:rPr>
          <w:i/>
          <w:iCs/>
        </w:rPr>
      </w:pPr>
      <w:r w:rsidRPr="0005391D">
        <w:rPr>
          <w:i/>
          <w:iCs/>
        </w:rPr>
        <w:t xml:space="preserve">(b) imposes no additional requirements, or </w:t>
      </w:r>
    </w:p>
    <w:p w14:paraId="6DB21FED" w14:textId="77777777" w:rsidR="00FC0C6A" w:rsidRDefault="00FC0C6A" w:rsidP="00FC0C6A">
      <w:pPr>
        <w:pStyle w:val="ListParagraph"/>
        <w:rPr>
          <w:bCs/>
          <w:i/>
          <w:iCs/>
        </w:rPr>
      </w:pPr>
      <w:r w:rsidRPr="0005391D">
        <w:rPr>
          <w:i/>
          <w:iCs/>
        </w:rPr>
        <w:t>(c) is unclear whether it imposes additional requirements</w:t>
      </w:r>
      <w:r>
        <w:rPr>
          <w:i/>
          <w:iCs/>
        </w:rPr>
        <w:t>?</w:t>
      </w:r>
    </w:p>
    <w:p w14:paraId="657FA97A" w14:textId="77777777" w:rsidR="00FC0C6A" w:rsidRPr="00911B48" w:rsidRDefault="00FC0C6A" w:rsidP="00FC0C6A">
      <w:pPr>
        <w:ind w:firstLine="720"/>
        <w:rPr>
          <w:bCs/>
          <w:i/>
          <w:iCs/>
        </w:rPr>
      </w:pPr>
      <w:r w:rsidRPr="00911B48">
        <w:rPr>
          <w:bCs/>
          <w:i/>
          <w:iCs/>
        </w:rPr>
        <w:t xml:space="preserve">Where possible, please </w:t>
      </w:r>
      <w:r w:rsidRPr="00911B48">
        <w:rPr>
          <w:i/>
          <w:iCs/>
        </w:rPr>
        <w:t>provide practical</w:t>
      </w:r>
      <w:r w:rsidRPr="00911B48">
        <w:rPr>
          <w:bCs/>
          <w:i/>
          <w:iCs/>
        </w:rPr>
        <w:t xml:space="preserve"> examples to support your views.</w:t>
      </w:r>
    </w:p>
    <w:p w14:paraId="6D959A30" w14:textId="77777777" w:rsidR="00FC0C6A" w:rsidRPr="007976EC" w:rsidRDefault="00FC0C6A" w:rsidP="00FC0C6A">
      <w:pPr>
        <w:jc w:val="both"/>
        <w:rPr>
          <w:b/>
          <w:bCs/>
        </w:rPr>
      </w:pPr>
      <w:r w:rsidRPr="007976EC">
        <w:rPr>
          <w:b/>
          <w:bCs/>
        </w:rPr>
        <w:t>Cosmetic features</w:t>
      </w:r>
    </w:p>
    <w:p w14:paraId="1F4920B8" w14:textId="77777777" w:rsidR="00FC0C6A" w:rsidRPr="0005363A" w:rsidRDefault="00FC0C6A" w:rsidP="00896FEC">
      <w:pPr>
        <w:pStyle w:val="ListParagraph"/>
        <w:numPr>
          <w:ilvl w:val="0"/>
          <w:numId w:val="29"/>
        </w:numPr>
        <w:rPr>
          <w:bCs/>
          <w:i/>
          <w:iCs/>
        </w:rPr>
      </w:pPr>
      <w:r w:rsidRPr="0005363A">
        <w:rPr>
          <w:i/>
          <w:iCs/>
        </w:rPr>
        <w:t>Does</w:t>
      </w:r>
      <w:r w:rsidRPr="0005363A">
        <w:rPr>
          <w:bCs/>
          <w:i/>
          <w:iCs/>
        </w:rPr>
        <w:t xml:space="preserve"> the </w:t>
      </w:r>
      <w:r w:rsidRPr="0005363A">
        <w:rPr>
          <w:i/>
          <w:iCs/>
        </w:rPr>
        <w:t>phrase</w:t>
      </w:r>
      <w:r w:rsidRPr="0005363A">
        <w:rPr>
          <w:bCs/>
          <w:i/>
          <w:iCs/>
        </w:rPr>
        <w:t xml:space="preserve"> “as distinct from cosmetic” </w:t>
      </w:r>
      <w:r w:rsidRPr="0005363A">
        <w:rPr>
          <w:i/>
          <w:iCs/>
        </w:rPr>
        <w:t>create uncertainty</w:t>
      </w:r>
      <w:r w:rsidRPr="0005363A">
        <w:rPr>
          <w:bCs/>
          <w:i/>
          <w:iCs/>
        </w:rPr>
        <w:t xml:space="preserve"> where </w:t>
      </w:r>
      <w:r w:rsidRPr="0005363A">
        <w:rPr>
          <w:i/>
          <w:iCs/>
        </w:rPr>
        <w:t>an</w:t>
      </w:r>
      <w:r w:rsidRPr="0005363A">
        <w:rPr>
          <w:bCs/>
          <w:i/>
          <w:iCs/>
        </w:rPr>
        <w:t xml:space="preserve"> aesthetic </w:t>
      </w:r>
      <w:r w:rsidRPr="0005363A">
        <w:rPr>
          <w:i/>
          <w:iCs/>
        </w:rPr>
        <w:t>feature is commercially or technically</w:t>
      </w:r>
      <w:r w:rsidRPr="0005363A">
        <w:rPr>
          <w:bCs/>
          <w:i/>
          <w:iCs/>
        </w:rPr>
        <w:t xml:space="preserve"> important</w:t>
      </w:r>
      <w:r w:rsidRPr="0005363A">
        <w:rPr>
          <w:i/>
          <w:iCs/>
        </w:rPr>
        <w:t xml:space="preserve">? </w:t>
      </w:r>
    </w:p>
    <w:p w14:paraId="5379014B" w14:textId="77777777" w:rsidR="00FC0C6A" w:rsidRPr="0005363A" w:rsidRDefault="00FC0C6A" w:rsidP="00896FEC">
      <w:pPr>
        <w:numPr>
          <w:ilvl w:val="0"/>
          <w:numId w:val="29"/>
        </w:numPr>
        <w:jc w:val="both"/>
        <w:rPr>
          <w:bCs/>
          <w:i/>
          <w:iCs/>
        </w:rPr>
      </w:pPr>
      <w:r w:rsidRPr="0005363A">
        <w:rPr>
          <w:bCs/>
          <w:i/>
          <w:iCs/>
        </w:rPr>
        <w:t>Can you provide examples of derived varieties where an EDV was not sought because the relevant feature was cosmetic?</w:t>
      </w:r>
    </w:p>
    <w:p w14:paraId="64337AE7" w14:textId="77777777" w:rsidR="00FC0C6A" w:rsidRPr="00FC0C6A" w:rsidRDefault="00FC0C6A" w:rsidP="00FC0C6A">
      <w:pPr>
        <w:jc w:val="both"/>
        <w:rPr>
          <w:u w:val="single"/>
        </w:rPr>
      </w:pPr>
      <w:r w:rsidRPr="00FC0C6A">
        <w:rPr>
          <w:u w:val="single"/>
        </w:rPr>
        <w:t>The EDV threshold</w:t>
      </w:r>
    </w:p>
    <w:p w14:paraId="25FED5E6" w14:textId="77777777" w:rsidR="00FC0C6A" w:rsidRPr="007976EC" w:rsidRDefault="00FC0C6A" w:rsidP="00FC0C6A">
      <w:pPr>
        <w:jc w:val="both"/>
        <w:rPr>
          <w:b/>
          <w:bCs/>
        </w:rPr>
      </w:pPr>
      <w:r w:rsidRPr="007976EC">
        <w:rPr>
          <w:b/>
          <w:bCs/>
        </w:rPr>
        <w:t>Evidence of a problem with the current threshold</w:t>
      </w:r>
    </w:p>
    <w:p w14:paraId="71BBD3C9" w14:textId="77777777" w:rsidR="00A04FAA" w:rsidRPr="005F35BC" w:rsidRDefault="00A04FAA" w:rsidP="00896FEC">
      <w:pPr>
        <w:pStyle w:val="ListParagraph"/>
        <w:numPr>
          <w:ilvl w:val="0"/>
          <w:numId w:val="29"/>
        </w:numPr>
        <w:jc w:val="both"/>
        <w:rPr>
          <w:bCs/>
          <w:i/>
          <w:iCs/>
        </w:rPr>
      </w:pPr>
      <w:r w:rsidRPr="005F7185">
        <w:rPr>
          <w:i/>
          <w:iCs/>
        </w:rPr>
        <w:t>Have</w:t>
      </w:r>
      <w:r w:rsidRPr="00230DBB">
        <w:rPr>
          <w:bCs/>
          <w:i/>
          <w:iCs/>
        </w:rPr>
        <w:t xml:space="preserve"> concerns about follow</w:t>
      </w:r>
      <w:r w:rsidRPr="005F7185">
        <w:rPr>
          <w:i/>
          <w:iCs/>
        </w:rPr>
        <w:t>-</w:t>
      </w:r>
      <w:r w:rsidRPr="00230DBB">
        <w:rPr>
          <w:bCs/>
          <w:i/>
          <w:iCs/>
        </w:rPr>
        <w:t>on breeding</w:t>
      </w:r>
      <w:r w:rsidRPr="005F7185">
        <w:rPr>
          <w:i/>
          <w:iCs/>
        </w:rPr>
        <w:t xml:space="preserve"> prevented anyone from releasing varieties in Australia?</w:t>
      </w:r>
      <w:r>
        <w:rPr>
          <w:bCs/>
          <w:i/>
          <w:iCs/>
        </w:rPr>
        <w:t xml:space="preserve"> Can you provide an example</w:t>
      </w:r>
      <w:r w:rsidRPr="005F7185">
        <w:rPr>
          <w:i/>
          <w:iCs/>
        </w:rPr>
        <w:t>?</w:t>
      </w:r>
    </w:p>
    <w:p w14:paraId="1789D300" w14:textId="6971DAF8" w:rsidR="005F35BC" w:rsidRPr="00230DBB" w:rsidRDefault="005F35BC" w:rsidP="005F35BC">
      <w:pPr>
        <w:pStyle w:val="ListParagraph"/>
        <w:numPr>
          <w:ilvl w:val="0"/>
          <w:numId w:val="29"/>
        </w:numPr>
        <w:jc w:val="both"/>
        <w:rPr>
          <w:bCs/>
          <w:i/>
          <w:iCs/>
        </w:rPr>
      </w:pPr>
      <w:r w:rsidRPr="005F35BC">
        <w:rPr>
          <w:bCs/>
          <w:i/>
          <w:iCs/>
        </w:rPr>
        <w:t>Have new breeding technologies, including gene editing, enabled breeders to develop varieties that you believe should have been treated as EDVs but do not meet the definition in Australian law? Please provide details where possible.</w:t>
      </w:r>
    </w:p>
    <w:p w14:paraId="45A77E4C" w14:textId="77777777" w:rsidR="00A04FAA" w:rsidRDefault="00A04FAA" w:rsidP="00896FEC">
      <w:pPr>
        <w:pStyle w:val="ListParagraph"/>
        <w:numPr>
          <w:ilvl w:val="0"/>
          <w:numId w:val="29"/>
        </w:numPr>
        <w:jc w:val="both"/>
        <w:rPr>
          <w:bCs/>
          <w:i/>
          <w:iCs/>
        </w:rPr>
      </w:pPr>
      <w:r w:rsidRPr="000332D0">
        <w:rPr>
          <w:i/>
          <w:iCs/>
        </w:rPr>
        <w:t>What</w:t>
      </w:r>
      <w:r>
        <w:rPr>
          <w:bCs/>
          <w:i/>
          <w:iCs/>
        </w:rPr>
        <w:t xml:space="preserve"> other evidence </w:t>
      </w:r>
      <w:r w:rsidRPr="000332D0">
        <w:rPr>
          <w:i/>
          <w:iCs/>
        </w:rPr>
        <w:t>should</w:t>
      </w:r>
      <w:r>
        <w:rPr>
          <w:bCs/>
          <w:i/>
          <w:iCs/>
        </w:rPr>
        <w:t xml:space="preserve"> IP Australia consider </w:t>
      </w:r>
      <w:r w:rsidRPr="000332D0">
        <w:rPr>
          <w:i/>
          <w:iCs/>
        </w:rPr>
        <w:t>when</w:t>
      </w:r>
      <w:r>
        <w:rPr>
          <w:bCs/>
          <w:i/>
          <w:iCs/>
        </w:rPr>
        <w:t xml:space="preserve"> assessing </w:t>
      </w:r>
      <w:r w:rsidRPr="000332D0">
        <w:rPr>
          <w:i/>
          <w:iCs/>
        </w:rPr>
        <w:t>whether to change Australia’s</w:t>
      </w:r>
      <w:r>
        <w:rPr>
          <w:bCs/>
          <w:i/>
          <w:iCs/>
        </w:rPr>
        <w:t xml:space="preserve"> EDV threshold?</w:t>
      </w:r>
    </w:p>
    <w:p w14:paraId="45A50639" w14:textId="0108084B" w:rsidR="00A04FAA" w:rsidRPr="00821230" w:rsidRDefault="0083648F" w:rsidP="00896FEC">
      <w:pPr>
        <w:pStyle w:val="ListParagraph"/>
        <w:numPr>
          <w:ilvl w:val="0"/>
          <w:numId w:val="29"/>
        </w:numPr>
        <w:rPr>
          <w:bCs/>
          <w:i/>
          <w:iCs/>
        </w:rPr>
      </w:pPr>
      <w:r w:rsidRPr="0083648F">
        <w:rPr>
          <w:i/>
          <w:iCs/>
        </w:rPr>
        <w:t>Are you aware of PBR owners not applying for an EDV declaration because they expected the application to fail? Please provide details.</w:t>
      </w:r>
    </w:p>
    <w:p w14:paraId="5AF98C73" w14:textId="77777777" w:rsidR="00FC0C6A" w:rsidRPr="007976EC" w:rsidRDefault="00FC0C6A" w:rsidP="00FC0C6A">
      <w:pPr>
        <w:jc w:val="both"/>
        <w:rPr>
          <w:b/>
          <w:bCs/>
        </w:rPr>
      </w:pPr>
      <w:r w:rsidRPr="007976EC">
        <w:rPr>
          <w:b/>
          <w:bCs/>
        </w:rPr>
        <w:lastRenderedPageBreak/>
        <w:t>Alternative threshold approaches</w:t>
      </w:r>
    </w:p>
    <w:p w14:paraId="07F49CEF" w14:textId="77777777" w:rsidR="00A04FAA" w:rsidRPr="00B33185" w:rsidRDefault="00A04FAA" w:rsidP="00896FEC">
      <w:pPr>
        <w:pStyle w:val="ListParagraph"/>
        <w:numPr>
          <w:ilvl w:val="0"/>
          <w:numId w:val="29"/>
        </w:numPr>
        <w:rPr>
          <w:bCs/>
          <w:i/>
          <w:iCs/>
        </w:rPr>
      </w:pPr>
      <w:r w:rsidRPr="00B33185">
        <w:rPr>
          <w:bCs/>
          <w:i/>
          <w:iCs/>
        </w:rPr>
        <w:t xml:space="preserve">Considering the current approach in the PBR Act and the examples provided above, what threshold should </w:t>
      </w:r>
      <w:r w:rsidRPr="00B33185">
        <w:rPr>
          <w:i/>
          <w:iCs/>
        </w:rPr>
        <w:t>IP Australia apply to EDVs?</w:t>
      </w:r>
      <w:r w:rsidRPr="00B33185">
        <w:rPr>
          <w:bCs/>
          <w:i/>
          <w:iCs/>
        </w:rPr>
        <w:t xml:space="preserve"> Why?</w:t>
      </w:r>
    </w:p>
    <w:p w14:paraId="4E354355" w14:textId="77777777" w:rsidR="00A04FAA" w:rsidRPr="00B33185" w:rsidRDefault="00A04FAA" w:rsidP="00896FEC">
      <w:pPr>
        <w:pStyle w:val="ListParagraph"/>
        <w:numPr>
          <w:ilvl w:val="0"/>
          <w:numId w:val="29"/>
        </w:numPr>
        <w:rPr>
          <w:bCs/>
          <w:i/>
          <w:iCs/>
        </w:rPr>
      </w:pPr>
      <w:r w:rsidRPr="00B33185">
        <w:rPr>
          <w:i/>
          <w:iCs/>
        </w:rPr>
        <w:t>Should IP Australia consider</w:t>
      </w:r>
      <w:r w:rsidRPr="00B33185">
        <w:rPr>
          <w:bCs/>
          <w:i/>
          <w:iCs/>
        </w:rPr>
        <w:t xml:space="preserve"> other approaches to the EDV threshold</w:t>
      </w:r>
      <w:r w:rsidRPr="00B33185">
        <w:rPr>
          <w:i/>
          <w:iCs/>
        </w:rPr>
        <w:t>?</w:t>
      </w:r>
      <w:r w:rsidRPr="00B33185">
        <w:rPr>
          <w:bCs/>
          <w:i/>
          <w:iCs/>
        </w:rPr>
        <w:t xml:space="preserve"> If so, please provide examples to support your views.</w:t>
      </w:r>
    </w:p>
    <w:p w14:paraId="5ABEC2AE" w14:textId="77777777" w:rsidR="00FC0C6A" w:rsidRPr="00F65DA6" w:rsidRDefault="00FC0C6A" w:rsidP="00FC0C6A">
      <w:pPr>
        <w:jc w:val="both"/>
        <w:rPr>
          <w:b/>
          <w:bCs/>
        </w:rPr>
      </w:pPr>
      <w:r>
        <w:rPr>
          <w:b/>
          <w:bCs/>
        </w:rPr>
        <w:t>General</w:t>
      </w:r>
      <w:r w:rsidRPr="00F65DA6">
        <w:rPr>
          <w:b/>
          <w:bCs/>
        </w:rPr>
        <w:t xml:space="preserve"> EDV threshold</w:t>
      </w:r>
      <w:r>
        <w:rPr>
          <w:b/>
          <w:bCs/>
        </w:rPr>
        <w:t xml:space="preserve"> views</w:t>
      </w:r>
    </w:p>
    <w:p w14:paraId="18E13C4F" w14:textId="77777777" w:rsidR="00A04FAA" w:rsidRPr="004D6A77" w:rsidRDefault="00A04FAA" w:rsidP="00896FEC">
      <w:pPr>
        <w:pStyle w:val="ListParagraph"/>
        <w:numPr>
          <w:ilvl w:val="0"/>
          <w:numId w:val="29"/>
        </w:numPr>
        <w:rPr>
          <w:bCs/>
          <w:i/>
          <w:iCs/>
        </w:rPr>
      </w:pPr>
      <w:r w:rsidRPr="004D6A77">
        <w:rPr>
          <w:bCs/>
          <w:i/>
          <w:iCs/>
        </w:rPr>
        <w:t xml:space="preserve">How would </w:t>
      </w:r>
      <w:r w:rsidRPr="004D6A77">
        <w:rPr>
          <w:i/>
          <w:iCs/>
        </w:rPr>
        <w:t>changes to</w:t>
      </w:r>
      <w:r w:rsidRPr="004D6A77">
        <w:rPr>
          <w:bCs/>
          <w:i/>
          <w:iCs/>
        </w:rPr>
        <w:t xml:space="preserve"> the EDV threshold affect incentives for initial breeders and follow-on breeders in your sector?</w:t>
      </w:r>
    </w:p>
    <w:p w14:paraId="13D37499" w14:textId="77777777" w:rsidR="007976EC" w:rsidRPr="004D6A77" w:rsidRDefault="00A04FAA" w:rsidP="00896FEC">
      <w:pPr>
        <w:pStyle w:val="ListParagraph"/>
        <w:numPr>
          <w:ilvl w:val="0"/>
          <w:numId w:val="29"/>
        </w:numPr>
        <w:rPr>
          <w:i/>
        </w:rPr>
      </w:pPr>
      <w:r w:rsidRPr="008F0CCE">
        <w:rPr>
          <w:i/>
          <w:iCs/>
        </w:rPr>
        <w:t>What</w:t>
      </w:r>
      <w:r w:rsidR="007976EC" w:rsidRPr="006C2C71">
        <w:rPr>
          <w:i/>
        </w:rPr>
        <w:t xml:space="preserve"> evidence </w:t>
      </w:r>
      <w:r w:rsidRPr="008F0CCE">
        <w:rPr>
          <w:i/>
          <w:iCs/>
        </w:rPr>
        <w:t xml:space="preserve">shows </w:t>
      </w:r>
      <w:r w:rsidRPr="006C2C71">
        <w:rPr>
          <w:bCs/>
          <w:i/>
          <w:iCs/>
        </w:rPr>
        <w:t xml:space="preserve">that </w:t>
      </w:r>
      <w:r w:rsidRPr="008F0CCE">
        <w:rPr>
          <w:i/>
          <w:iCs/>
        </w:rPr>
        <w:t>IP Australia needs to change</w:t>
      </w:r>
      <w:r w:rsidR="007976EC" w:rsidRPr="006C2C71">
        <w:rPr>
          <w:i/>
        </w:rPr>
        <w:t xml:space="preserve"> the EDV threshold to maintain incentives for investment in plant breeding and the development of new varieties in Australia?</w:t>
      </w:r>
    </w:p>
    <w:p w14:paraId="72FA0816" w14:textId="77777777" w:rsidR="00FC0C6A" w:rsidRPr="00FC0C6A" w:rsidRDefault="00FC0C6A" w:rsidP="00FC0C6A">
      <w:pPr>
        <w:jc w:val="both"/>
        <w:rPr>
          <w:u w:val="single"/>
        </w:rPr>
      </w:pPr>
      <w:r w:rsidRPr="00FC0C6A">
        <w:rPr>
          <w:u w:val="single"/>
        </w:rPr>
        <w:t>Improving the EDV process</w:t>
      </w:r>
    </w:p>
    <w:p w14:paraId="7D152DAC" w14:textId="77777777" w:rsidR="00FC0C6A" w:rsidRPr="007976EC" w:rsidRDefault="00FC0C6A" w:rsidP="00FC0C6A">
      <w:pPr>
        <w:jc w:val="both"/>
        <w:rPr>
          <w:b/>
          <w:bCs/>
        </w:rPr>
      </w:pPr>
      <w:r w:rsidRPr="007976EC">
        <w:rPr>
          <w:b/>
          <w:bCs/>
        </w:rPr>
        <w:t>Guidance and transparency</w:t>
      </w:r>
    </w:p>
    <w:p w14:paraId="0B8877C4" w14:textId="77777777" w:rsidR="00A04FAA" w:rsidRPr="00CB0DE8" w:rsidRDefault="00A04FAA" w:rsidP="00896FEC">
      <w:pPr>
        <w:pStyle w:val="ListParagraph"/>
        <w:numPr>
          <w:ilvl w:val="0"/>
          <w:numId w:val="29"/>
        </w:numPr>
        <w:rPr>
          <w:bCs/>
          <w:i/>
          <w:iCs/>
        </w:rPr>
      </w:pPr>
      <w:r w:rsidRPr="00CB0DE8">
        <w:rPr>
          <w:bCs/>
          <w:i/>
          <w:iCs/>
        </w:rPr>
        <w:t xml:space="preserve">What information </w:t>
      </w:r>
      <w:r w:rsidRPr="00CB0DE8">
        <w:rPr>
          <w:i/>
          <w:iCs/>
        </w:rPr>
        <w:t>should IP Australia make</w:t>
      </w:r>
      <w:r w:rsidRPr="00CB0DE8">
        <w:rPr>
          <w:bCs/>
          <w:i/>
          <w:iCs/>
        </w:rPr>
        <w:t xml:space="preserve"> available about the EDV process and EDV decisions? For example, would more detailed guidelines</w:t>
      </w:r>
      <w:r w:rsidRPr="00CB0DE8">
        <w:rPr>
          <w:i/>
          <w:iCs/>
        </w:rPr>
        <w:t xml:space="preserve"> help</w:t>
      </w:r>
      <w:r w:rsidRPr="00CB0DE8">
        <w:rPr>
          <w:bCs/>
          <w:i/>
          <w:iCs/>
        </w:rPr>
        <w:t>?</w:t>
      </w:r>
    </w:p>
    <w:p w14:paraId="0D675447" w14:textId="77777777" w:rsidR="00A04FAA" w:rsidRPr="00CB0DE8" w:rsidRDefault="00A04FAA" w:rsidP="00896FEC">
      <w:pPr>
        <w:pStyle w:val="ListParagraph"/>
        <w:numPr>
          <w:ilvl w:val="0"/>
          <w:numId w:val="29"/>
        </w:numPr>
        <w:rPr>
          <w:bCs/>
          <w:i/>
          <w:iCs/>
        </w:rPr>
      </w:pPr>
      <w:r w:rsidRPr="00CB0DE8">
        <w:rPr>
          <w:bCs/>
          <w:i/>
          <w:iCs/>
        </w:rPr>
        <w:t xml:space="preserve">Would more information about concepts such as ‘predominant derivation’, ‘essential characteristics’ or ‘important features’ </w:t>
      </w:r>
      <w:r w:rsidRPr="00CB0DE8">
        <w:rPr>
          <w:i/>
          <w:iCs/>
        </w:rPr>
        <w:t>reduce</w:t>
      </w:r>
      <w:r w:rsidRPr="00CB0DE8">
        <w:rPr>
          <w:bCs/>
          <w:i/>
          <w:iCs/>
        </w:rPr>
        <w:t xml:space="preserve"> uncertainty </w:t>
      </w:r>
      <w:r w:rsidRPr="00CB0DE8">
        <w:rPr>
          <w:i/>
          <w:iCs/>
        </w:rPr>
        <w:t>about</w:t>
      </w:r>
      <w:r w:rsidRPr="00CB0DE8">
        <w:rPr>
          <w:bCs/>
          <w:i/>
          <w:iCs/>
        </w:rPr>
        <w:t xml:space="preserve"> terminology?</w:t>
      </w:r>
    </w:p>
    <w:p w14:paraId="4381424E" w14:textId="77777777" w:rsidR="00FC0C6A" w:rsidRPr="007976EC" w:rsidRDefault="00FC0C6A" w:rsidP="00FC0C6A">
      <w:pPr>
        <w:jc w:val="both"/>
        <w:rPr>
          <w:b/>
          <w:bCs/>
        </w:rPr>
      </w:pPr>
      <w:r w:rsidRPr="007976EC">
        <w:rPr>
          <w:b/>
          <w:bCs/>
        </w:rPr>
        <w:t>Publishing EDV decisions</w:t>
      </w:r>
    </w:p>
    <w:p w14:paraId="77BCB3CE" w14:textId="77777777" w:rsidR="00A04FAA" w:rsidRPr="007A7CED" w:rsidRDefault="00A04FAA" w:rsidP="00896FEC">
      <w:pPr>
        <w:pStyle w:val="ListParagraph"/>
        <w:numPr>
          <w:ilvl w:val="0"/>
          <w:numId w:val="29"/>
        </w:numPr>
        <w:rPr>
          <w:bCs/>
          <w:i/>
          <w:iCs/>
        </w:rPr>
      </w:pPr>
      <w:r w:rsidRPr="007A7CED">
        <w:rPr>
          <w:i/>
          <w:iCs/>
        </w:rPr>
        <w:t>Would publishing</w:t>
      </w:r>
      <w:r w:rsidRPr="007A7CED">
        <w:rPr>
          <w:bCs/>
          <w:i/>
          <w:iCs/>
        </w:rPr>
        <w:t xml:space="preserve"> EDV decisions</w:t>
      </w:r>
      <w:r w:rsidRPr="007A7CED">
        <w:rPr>
          <w:i/>
          <w:iCs/>
        </w:rPr>
        <w:t xml:space="preserve"> be useful?</w:t>
      </w:r>
    </w:p>
    <w:p w14:paraId="1D4AE751" w14:textId="77777777" w:rsidR="00A04FAA" w:rsidRPr="00DC1511" w:rsidRDefault="00A04FAA" w:rsidP="00896FEC">
      <w:pPr>
        <w:pStyle w:val="ListParagraph"/>
        <w:numPr>
          <w:ilvl w:val="0"/>
          <w:numId w:val="29"/>
        </w:numPr>
        <w:rPr>
          <w:bCs/>
          <w:i/>
          <w:iCs/>
        </w:rPr>
      </w:pPr>
      <w:r w:rsidRPr="007A7CED">
        <w:rPr>
          <w:bCs/>
          <w:i/>
          <w:iCs/>
        </w:rPr>
        <w:t xml:space="preserve">If </w:t>
      </w:r>
      <w:r w:rsidRPr="007A7CED">
        <w:rPr>
          <w:i/>
          <w:iCs/>
        </w:rPr>
        <w:t xml:space="preserve">IP Australia published </w:t>
      </w:r>
      <w:r w:rsidRPr="007A7CED">
        <w:rPr>
          <w:bCs/>
          <w:i/>
          <w:iCs/>
        </w:rPr>
        <w:t xml:space="preserve">EDV decisions, what level of detail should </w:t>
      </w:r>
      <w:r w:rsidRPr="007A7CED">
        <w:rPr>
          <w:i/>
          <w:iCs/>
        </w:rPr>
        <w:t>it make</w:t>
      </w:r>
      <w:r w:rsidRPr="007A7CED">
        <w:rPr>
          <w:bCs/>
          <w:i/>
          <w:iCs/>
        </w:rPr>
        <w:t xml:space="preserve"> publicly available? For example, should </w:t>
      </w:r>
      <w:r w:rsidRPr="007A7CED">
        <w:rPr>
          <w:i/>
          <w:iCs/>
        </w:rPr>
        <w:t xml:space="preserve">IP Australia publish </w:t>
      </w:r>
      <w:r w:rsidRPr="007A7CED">
        <w:rPr>
          <w:bCs/>
          <w:i/>
          <w:iCs/>
        </w:rPr>
        <w:t xml:space="preserve">decisions in full, in redacted form, as de-identified summaries, or through </w:t>
      </w:r>
      <w:r w:rsidRPr="007A7CED">
        <w:rPr>
          <w:i/>
          <w:iCs/>
        </w:rPr>
        <w:t>another</w:t>
      </w:r>
      <w:r w:rsidRPr="007A7CED">
        <w:rPr>
          <w:bCs/>
          <w:i/>
          <w:iCs/>
        </w:rPr>
        <w:t xml:space="preserve"> approach</w:t>
      </w:r>
      <w:r w:rsidRPr="00DC1511">
        <w:rPr>
          <w:bCs/>
          <w:i/>
          <w:iCs/>
        </w:rPr>
        <w:t>? Please explain your reasons.</w:t>
      </w:r>
    </w:p>
    <w:p w14:paraId="08DB621C" w14:textId="77777777" w:rsidR="00FC0C6A" w:rsidRPr="007976EC" w:rsidRDefault="00FC0C6A" w:rsidP="00FC0C6A">
      <w:pPr>
        <w:jc w:val="both"/>
        <w:rPr>
          <w:b/>
          <w:bCs/>
        </w:rPr>
      </w:pPr>
      <w:r w:rsidRPr="007976EC">
        <w:rPr>
          <w:b/>
          <w:bCs/>
        </w:rPr>
        <w:t>The decision-maker for EDV matters</w:t>
      </w:r>
    </w:p>
    <w:p w14:paraId="3B6E98B2" w14:textId="75335396" w:rsidR="00A04FAA" w:rsidRPr="00521B38" w:rsidRDefault="00F4760D" w:rsidP="00896FEC">
      <w:pPr>
        <w:pStyle w:val="ListParagraph"/>
        <w:numPr>
          <w:ilvl w:val="0"/>
          <w:numId w:val="29"/>
        </w:numPr>
        <w:rPr>
          <w:i/>
        </w:rPr>
      </w:pPr>
      <w:r w:rsidRPr="00F4760D">
        <w:rPr>
          <w:bCs/>
          <w:i/>
          <w:iCs/>
        </w:rPr>
        <w:t>Should the PBR Registrar continue to make EDV determinations, or should unresolved EDV disputes be determined by a court</w:t>
      </w:r>
      <w:r w:rsidR="00A04FAA" w:rsidRPr="00AA12D7">
        <w:rPr>
          <w:bCs/>
          <w:i/>
          <w:iCs/>
        </w:rPr>
        <w:t>?</w:t>
      </w:r>
      <w:r w:rsidR="001A7B5F">
        <w:rPr>
          <w:bCs/>
          <w:i/>
          <w:iCs/>
        </w:rPr>
        <w:t xml:space="preserve"> Please explain your reasons.</w:t>
      </w:r>
    </w:p>
    <w:p w14:paraId="3B8FFC90" w14:textId="77777777" w:rsidR="00AD6F6D" w:rsidRPr="00AA12D7" w:rsidRDefault="00AD6F6D" w:rsidP="00AD6F6D">
      <w:pPr>
        <w:pStyle w:val="ListParagraph"/>
        <w:numPr>
          <w:ilvl w:val="0"/>
          <w:numId w:val="29"/>
        </w:numPr>
        <w:rPr>
          <w:i/>
        </w:rPr>
      </w:pPr>
      <w:r w:rsidRPr="00AA12D7">
        <w:rPr>
          <w:i/>
          <w:iCs/>
        </w:rPr>
        <w:t>Would</w:t>
      </w:r>
      <w:r w:rsidRPr="00AA12D7">
        <w:rPr>
          <w:bCs/>
          <w:i/>
          <w:iCs/>
        </w:rPr>
        <w:t xml:space="preserve"> your </w:t>
      </w:r>
      <w:r>
        <w:rPr>
          <w:bCs/>
          <w:i/>
          <w:iCs/>
        </w:rPr>
        <w:t>answer to the previous question</w:t>
      </w:r>
      <w:r w:rsidRPr="00AA12D7">
        <w:rPr>
          <w:bCs/>
          <w:i/>
          <w:iCs/>
        </w:rPr>
        <w:t xml:space="preserve"> differ if </w:t>
      </w:r>
      <w:r w:rsidRPr="00AA12D7">
        <w:rPr>
          <w:i/>
          <w:iCs/>
        </w:rPr>
        <w:t xml:space="preserve">IP Australia lowered </w:t>
      </w:r>
      <w:r w:rsidRPr="00AA12D7">
        <w:rPr>
          <w:bCs/>
          <w:i/>
          <w:iCs/>
        </w:rPr>
        <w:t>the threshold for establishing essential derivation</w:t>
      </w:r>
      <w:r w:rsidRPr="00AA12D7">
        <w:rPr>
          <w:i/>
          <w:iCs/>
        </w:rPr>
        <w:t>?</w:t>
      </w:r>
      <w:r w:rsidRPr="00AA12D7">
        <w:rPr>
          <w:bCs/>
          <w:i/>
          <w:iCs/>
        </w:rPr>
        <w:t xml:space="preserve"> Please explain.</w:t>
      </w:r>
    </w:p>
    <w:p w14:paraId="0BF4C8FE" w14:textId="77777777" w:rsidR="00A04FAA" w:rsidRPr="00AA12D7" w:rsidRDefault="00A04FAA" w:rsidP="00896FEC">
      <w:pPr>
        <w:pStyle w:val="ListParagraph"/>
        <w:numPr>
          <w:ilvl w:val="0"/>
          <w:numId w:val="29"/>
        </w:numPr>
        <w:rPr>
          <w:i/>
        </w:rPr>
      </w:pPr>
      <w:r w:rsidRPr="00AA12D7">
        <w:rPr>
          <w:bCs/>
          <w:i/>
          <w:iCs/>
        </w:rPr>
        <w:t xml:space="preserve">What costs, benefits and accessibility impacts </w:t>
      </w:r>
      <w:r w:rsidRPr="00AA12D7">
        <w:rPr>
          <w:i/>
          <w:iCs/>
        </w:rPr>
        <w:t>would</w:t>
      </w:r>
      <w:r w:rsidRPr="00AA12D7">
        <w:rPr>
          <w:bCs/>
          <w:i/>
          <w:iCs/>
        </w:rPr>
        <w:t xml:space="preserve"> </w:t>
      </w:r>
      <w:proofErr w:type="gramStart"/>
      <w:r w:rsidRPr="00AA12D7">
        <w:rPr>
          <w:bCs/>
          <w:i/>
          <w:iCs/>
        </w:rPr>
        <w:t>moving</w:t>
      </w:r>
      <w:proofErr w:type="gramEnd"/>
      <w:r w:rsidRPr="00AA12D7">
        <w:rPr>
          <w:bCs/>
          <w:i/>
          <w:iCs/>
        </w:rPr>
        <w:t xml:space="preserve"> EDV determinations to the courts</w:t>
      </w:r>
      <w:r w:rsidRPr="00AA12D7">
        <w:rPr>
          <w:i/>
          <w:iCs/>
        </w:rPr>
        <w:t xml:space="preserve"> have</w:t>
      </w:r>
      <w:r w:rsidRPr="00AA12D7">
        <w:rPr>
          <w:bCs/>
          <w:i/>
          <w:iCs/>
        </w:rPr>
        <w:t>, including for smaller breeders?</w:t>
      </w:r>
    </w:p>
    <w:p w14:paraId="48CF5D36" w14:textId="77777777" w:rsidR="00A04FAA" w:rsidRPr="00AA12D7" w:rsidRDefault="00A04FAA" w:rsidP="00896FEC">
      <w:pPr>
        <w:pStyle w:val="ListParagraph"/>
        <w:numPr>
          <w:ilvl w:val="0"/>
          <w:numId w:val="29"/>
        </w:numPr>
        <w:rPr>
          <w:i/>
        </w:rPr>
      </w:pPr>
      <w:r w:rsidRPr="00AA12D7">
        <w:rPr>
          <w:i/>
          <w:iCs/>
        </w:rPr>
        <w:t>What</w:t>
      </w:r>
      <w:r w:rsidRPr="00AA12D7">
        <w:rPr>
          <w:bCs/>
          <w:i/>
          <w:iCs/>
        </w:rPr>
        <w:t xml:space="preserve"> other changes to the EDV process </w:t>
      </w:r>
      <w:r w:rsidRPr="00AA12D7">
        <w:rPr>
          <w:i/>
          <w:iCs/>
        </w:rPr>
        <w:t>should</w:t>
      </w:r>
      <w:r w:rsidRPr="00AA12D7">
        <w:rPr>
          <w:bCs/>
          <w:i/>
          <w:iCs/>
        </w:rPr>
        <w:t xml:space="preserve"> IP Australia consider?</w:t>
      </w:r>
    </w:p>
    <w:p w14:paraId="36162C6D" w14:textId="2E5B186A" w:rsidR="009E6034" w:rsidRDefault="00A31EEC" w:rsidP="00FC0C6A">
      <w:pPr>
        <w:jc w:val="both"/>
        <w:rPr>
          <w:b/>
          <w:bCs/>
        </w:rPr>
      </w:pPr>
      <w:r>
        <w:rPr>
          <w:b/>
          <w:bCs/>
        </w:rPr>
        <w:t>Other matters</w:t>
      </w:r>
    </w:p>
    <w:p w14:paraId="47C132D6" w14:textId="77777777" w:rsidR="00A31EEC" w:rsidRPr="008B3846" w:rsidRDefault="00A31EEC" w:rsidP="00DD7417">
      <w:pPr>
        <w:pStyle w:val="ListParagraph"/>
        <w:numPr>
          <w:ilvl w:val="0"/>
          <w:numId w:val="29"/>
        </w:numPr>
        <w:jc w:val="both"/>
        <w:rPr>
          <w:bCs/>
          <w:i/>
          <w:iCs/>
        </w:rPr>
      </w:pPr>
      <w:r w:rsidRPr="008B3846">
        <w:rPr>
          <w:bCs/>
          <w:i/>
          <w:iCs/>
        </w:rPr>
        <w:t>Do you have any other comments or concerns about Australia’s approach to EDVs that are not addressed in this paper?</w:t>
      </w:r>
    </w:p>
    <w:p w14:paraId="107AA6BE" w14:textId="77777777" w:rsidR="00A31EEC" w:rsidRPr="00DD7417" w:rsidRDefault="00A31EEC" w:rsidP="00FC0C6A">
      <w:pPr>
        <w:jc w:val="both"/>
        <w:rPr>
          <w:b/>
          <w:bCs/>
        </w:rPr>
      </w:pPr>
    </w:p>
    <w:sectPr w:rsidR="00A31EEC" w:rsidRPr="00DD7417" w:rsidSect="001912B9">
      <w:headerReference w:type="even" r:id="rId18"/>
      <w:headerReference w:type="default" r:id="rId19"/>
      <w:footerReference w:type="even" r:id="rId20"/>
      <w:footerReference w:type="default" r:id="rId21"/>
      <w:headerReference w:type="first" r:id="rId22"/>
      <w:footerReference w:type="first" r:id="rId23"/>
      <w:pgSz w:w="11906" w:h="16838" w:code="9"/>
      <w:pgMar w:top="1099" w:right="907" w:bottom="851" w:left="907" w:header="510" w:footer="39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73983" w14:textId="77777777" w:rsidR="00234EB0" w:rsidRDefault="00234EB0" w:rsidP="008920BB">
      <w:r>
        <w:separator/>
      </w:r>
    </w:p>
  </w:endnote>
  <w:endnote w:type="continuationSeparator" w:id="0">
    <w:p w14:paraId="035B9F85" w14:textId="77777777" w:rsidR="00234EB0" w:rsidRDefault="00234EB0" w:rsidP="008920BB">
      <w:r>
        <w:continuationSeparator/>
      </w:r>
    </w:p>
  </w:endnote>
  <w:endnote w:type="continuationNotice" w:id="1">
    <w:p w14:paraId="370208A0" w14:textId="77777777" w:rsidR="00234EB0" w:rsidRDefault="00234E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swald">
    <w:charset w:val="00"/>
    <w:family w:val="auto"/>
    <w:pitch w:val="variable"/>
    <w:sig w:usb0="2000020F" w:usb1="00000000"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Intelo-Regular">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8A64" w14:textId="35713BDA" w:rsidR="009A2015" w:rsidRDefault="009A2015">
    <w:pPr>
      <w:pStyle w:val="Footer"/>
    </w:pPr>
    <w:r>
      <w:rPr>
        <w:noProof/>
      </w:rPr>
      <mc:AlternateContent>
        <mc:Choice Requires="wps">
          <w:drawing>
            <wp:anchor distT="0" distB="0" distL="0" distR="0" simplePos="0" relativeHeight="251658247" behindDoc="0" locked="0" layoutInCell="1" allowOverlap="1" wp14:anchorId="5411F8FB" wp14:editId="5239DFEF">
              <wp:simplePos x="635" y="635"/>
              <wp:positionH relativeFrom="page">
                <wp:align>center</wp:align>
              </wp:positionH>
              <wp:positionV relativeFrom="page">
                <wp:align>bottom</wp:align>
              </wp:positionV>
              <wp:extent cx="643255" cy="407670"/>
              <wp:effectExtent l="0" t="0" r="4445" b="0"/>
              <wp:wrapNone/>
              <wp:docPr id="30438187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6A45B528" w14:textId="0F43AF67" w:rsidR="009A2015" w:rsidRPr="009A2015" w:rsidRDefault="009A2015" w:rsidP="009A2015">
                          <w:pPr>
                            <w:spacing w:after="0"/>
                            <w:rPr>
                              <w:rFonts w:ascii="Aptos" w:eastAsia="Aptos" w:hAnsi="Aptos" w:cs="Aptos"/>
                              <w:noProof/>
                              <w:color w:val="FF0000"/>
                              <w:sz w:val="28"/>
                              <w:szCs w:val="28"/>
                            </w:rPr>
                          </w:pPr>
                          <w:r w:rsidRPr="009A2015">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11F8FB" id="_x0000_t202" coordsize="21600,21600" o:spt="202" path="m,l,21600r21600,l21600,xe">
              <v:stroke joinstyle="miter"/>
              <v:path gradientshapeok="t" o:connecttype="rect"/>
            </v:shapetype>
            <v:shape id="Text Box 6" o:spid="_x0000_s1028" type="#_x0000_t202" alt="OFFICIAL" style="position:absolute;margin-left:0;margin-top:0;width:50.65pt;height:32.1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" filled="f" stroked="f">
              <v:textbox style="mso-fit-shape-to-text:t" inset="0,0,0,15pt">
                <w:txbxContent>
                  <w:p w14:paraId="6A45B528" w14:textId="0F43AF67" w:rsidR="009A2015" w:rsidRPr="009A2015" w:rsidRDefault="009A2015" w:rsidP="009A2015">
                    <w:pPr>
                      <w:spacing w:after="0"/>
                      <w:rPr>
                        <w:rFonts w:ascii="Aptos" w:eastAsia="Aptos" w:hAnsi="Aptos" w:cs="Aptos"/>
                        <w:noProof/>
                        <w:color w:val="FF0000"/>
                        <w:sz w:val="28"/>
                        <w:szCs w:val="28"/>
                      </w:rPr>
                    </w:pPr>
                    <w:r w:rsidRPr="009A2015">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598A" w14:textId="5EAD49BB" w:rsidR="001C6DBE" w:rsidRDefault="009A2015">
    <w:pPr>
      <w:pStyle w:val="Footer"/>
    </w:pPr>
    <w:r>
      <w:rPr>
        <w:noProof/>
      </w:rPr>
      <mc:AlternateContent>
        <mc:Choice Requires="wps">
          <w:drawing>
            <wp:anchor distT="0" distB="0" distL="0" distR="0" simplePos="0" relativeHeight="251658246" behindDoc="0" locked="0" layoutInCell="1" allowOverlap="1" wp14:anchorId="38F273D5" wp14:editId="62DDDE2C">
              <wp:simplePos x="635" y="635"/>
              <wp:positionH relativeFrom="page">
                <wp:align>center</wp:align>
              </wp:positionH>
              <wp:positionV relativeFrom="page">
                <wp:align>bottom</wp:align>
              </wp:positionV>
              <wp:extent cx="643255" cy="407670"/>
              <wp:effectExtent l="0" t="0" r="4445" b="0"/>
              <wp:wrapNone/>
              <wp:docPr id="133724051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3FC0DC39" w14:textId="64CD5783" w:rsidR="009A2015" w:rsidRPr="009A2015" w:rsidRDefault="009A2015" w:rsidP="009A2015">
                          <w:pPr>
                            <w:spacing w:after="0"/>
                            <w:rPr>
                              <w:rFonts w:ascii="Aptos" w:eastAsia="Aptos" w:hAnsi="Aptos" w:cs="Aptos"/>
                              <w:noProof/>
                              <w:color w:val="FF0000"/>
                              <w:sz w:val="28"/>
                              <w:szCs w:val="28"/>
                            </w:rPr>
                          </w:pPr>
                          <w:r w:rsidRPr="009A2015">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F273D5" id="_x0000_t202" coordsize="21600,21600" o:spt="202" path="m,l,21600r21600,l21600,xe">
              <v:stroke joinstyle="miter"/>
              <v:path gradientshapeok="t" o:connecttype="rect"/>
            </v:shapetype>
            <v:shape id="Text Box 7" o:spid="_x0000_s1029" type="#_x0000_t202" alt="OFFICIAL" style="position:absolute;margin-left:0;margin-top:0;width:50.65pt;height:32.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" filled="f" stroked="f">
              <v:textbox style="mso-fit-shape-to-text:t" inset="0,0,0,15pt">
                <w:txbxContent>
                  <w:p w14:paraId="3FC0DC39" w14:textId="64CD5783" w:rsidR="009A2015" w:rsidRPr="009A2015" w:rsidRDefault="009A2015" w:rsidP="009A2015">
                    <w:pPr>
                      <w:spacing w:after="0"/>
                      <w:rPr>
                        <w:rFonts w:ascii="Aptos" w:eastAsia="Aptos" w:hAnsi="Aptos" w:cs="Aptos"/>
                        <w:noProof/>
                        <w:color w:val="FF0000"/>
                        <w:sz w:val="28"/>
                        <w:szCs w:val="28"/>
                      </w:rPr>
                    </w:pPr>
                    <w:r w:rsidRPr="009A2015">
                      <w:rPr>
                        <w:rFonts w:ascii="Aptos" w:eastAsia="Aptos" w:hAnsi="Aptos" w:cs="Aptos"/>
                        <w:noProof/>
                        <w:color w:val="FF0000"/>
                        <w:sz w:val="28"/>
                        <w:szCs w:val="28"/>
                      </w:rPr>
                      <w:t>OFFICIAL</w:t>
                    </w:r>
                  </w:p>
                </w:txbxContent>
              </v:textbox>
              <w10:wrap anchorx="page" anchory="page"/>
            </v:shape>
          </w:pict>
        </mc:Fallback>
      </mc:AlternateContent>
    </w:r>
    <w:r w:rsidR="001C6DBE">
      <w:t xml:space="preserve">Page </w:t>
    </w:r>
    <w:r w:rsidR="001C6DBE">
      <w:fldChar w:fldCharType="begin"/>
    </w:r>
    <w:r w:rsidR="001C6DBE">
      <w:instrText xml:space="preserve"> PAGE  \* Arabic </w:instrText>
    </w:r>
    <w:r w:rsidR="001C6DBE">
      <w:fldChar w:fldCharType="separate"/>
    </w:r>
    <w:r w:rsidR="001C6DBE">
      <w:t>1</w:t>
    </w:r>
    <w:r w:rsidR="001C6DB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A1E9" w14:textId="04C39645" w:rsidR="009A2015" w:rsidRDefault="009A2015">
    <w:pPr>
      <w:pStyle w:val="Footer"/>
    </w:pPr>
    <w:r>
      <w:rPr>
        <w:noProof/>
      </w:rPr>
      <mc:AlternateContent>
        <mc:Choice Requires="wps">
          <w:drawing>
            <wp:anchor distT="0" distB="0" distL="0" distR="0" simplePos="0" relativeHeight="251658248" behindDoc="0" locked="0" layoutInCell="1" allowOverlap="1" wp14:anchorId="5E6887A4" wp14:editId="334EBDC6">
              <wp:simplePos x="635" y="635"/>
              <wp:positionH relativeFrom="page">
                <wp:align>center</wp:align>
              </wp:positionH>
              <wp:positionV relativeFrom="page">
                <wp:align>bottom</wp:align>
              </wp:positionV>
              <wp:extent cx="643255" cy="407670"/>
              <wp:effectExtent l="0" t="0" r="4445" b="0"/>
              <wp:wrapNone/>
              <wp:docPr id="579874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3FE1BBF5" w14:textId="51F47C9F" w:rsidR="009A2015" w:rsidRPr="009A2015" w:rsidRDefault="009A2015" w:rsidP="009A2015">
                          <w:pPr>
                            <w:spacing w:after="0"/>
                            <w:rPr>
                              <w:rFonts w:ascii="Aptos" w:eastAsia="Aptos" w:hAnsi="Aptos" w:cs="Aptos"/>
                              <w:noProof/>
                              <w:color w:val="FF0000"/>
                              <w:sz w:val="28"/>
                              <w:szCs w:val="28"/>
                            </w:rPr>
                          </w:pPr>
                          <w:r w:rsidRPr="009A2015">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6887A4" id="_x0000_t202" coordsize="21600,21600" o:spt="202" path="m,l,21600r21600,l21600,xe">
              <v:stroke joinstyle="miter"/>
              <v:path gradientshapeok="t" o:connecttype="rect"/>
            </v:shapetype>
            <v:shape id="Text Box 5" o:spid="_x0000_s1031" type="#_x0000_t202" alt="OFFICIAL" style="position:absolute;margin-left:0;margin-top:0;width:50.65pt;height:32.1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" filled="f" stroked="f">
              <v:textbox style="mso-fit-shape-to-text:t" inset="0,0,0,15pt">
                <w:txbxContent>
                  <w:p w14:paraId="3FE1BBF5" w14:textId="51F47C9F" w:rsidR="009A2015" w:rsidRPr="009A2015" w:rsidRDefault="009A2015" w:rsidP="009A2015">
                    <w:pPr>
                      <w:spacing w:after="0"/>
                      <w:rPr>
                        <w:rFonts w:ascii="Aptos" w:eastAsia="Aptos" w:hAnsi="Aptos" w:cs="Aptos"/>
                        <w:noProof/>
                        <w:color w:val="FF0000"/>
                        <w:sz w:val="28"/>
                        <w:szCs w:val="28"/>
                      </w:rPr>
                    </w:pPr>
                    <w:r w:rsidRPr="009A2015">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3BB1" w14:textId="77777777" w:rsidR="00234EB0" w:rsidRDefault="00234EB0" w:rsidP="004964DD">
      <w:pPr>
        <w:spacing w:after="0"/>
      </w:pPr>
      <w:r>
        <w:separator/>
      </w:r>
    </w:p>
  </w:footnote>
  <w:footnote w:type="continuationSeparator" w:id="0">
    <w:p w14:paraId="73DF5E93" w14:textId="77777777" w:rsidR="00234EB0" w:rsidRDefault="00234EB0" w:rsidP="008920BB">
      <w:r>
        <w:continuationSeparator/>
      </w:r>
    </w:p>
  </w:footnote>
  <w:footnote w:type="continuationNotice" w:id="1">
    <w:p w14:paraId="2B082F2A" w14:textId="77777777" w:rsidR="00234EB0" w:rsidRDefault="00234EB0">
      <w:pPr>
        <w:spacing w:after="0" w:line="240" w:lineRule="auto"/>
      </w:pPr>
    </w:p>
  </w:footnote>
  <w:footnote w:id="2">
    <w:p w14:paraId="5A364DB4" w14:textId="3E5A6BA7" w:rsidR="00610813" w:rsidRPr="00540639" w:rsidRDefault="00610813" w:rsidP="00610813">
      <w:pPr>
        <w:pStyle w:val="FootnoteText"/>
        <w:rPr>
          <w:lang w:val="en-US"/>
        </w:rPr>
      </w:pPr>
      <w:r>
        <w:rPr>
          <w:rStyle w:val="FootnoteReference"/>
        </w:rPr>
        <w:footnoteRef/>
      </w:r>
      <w:r w:rsidR="00406BC7">
        <w:rPr>
          <w:sz w:val="18"/>
          <w:szCs w:val="16"/>
        </w:rPr>
        <w:t xml:space="preserve"> </w:t>
      </w:r>
      <w:r w:rsidRPr="00D37B9F">
        <w:rPr>
          <w:sz w:val="18"/>
          <w:szCs w:val="16"/>
        </w:rPr>
        <w:t xml:space="preserve">Reviews and consultations include the 1999 Standing Committee on Agriculture and Resource Management Review, the 2002 </w:t>
      </w:r>
      <w:hyperlink r:id="rId1" w:history="1">
        <w:r w:rsidRPr="00D37B9F">
          <w:rPr>
            <w:rStyle w:val="Hyperlink"/>
            <w:sz w:val="18"/>
            <w:szCs w:val="16"/>
          </w:rPr>
          <w:t>Expert Panel on Breeding</w:t>
        </w:r>
      </w:hyperlink>
      <w:r w:rsidRPr="00D37B9F">
        <w:rPr>
          <w:sz w:val="18"/>
          <w:szCs w:val="16"/>
        </w:rPr>
        <w:t xml:space="preserve">, the 2010 </w:t>
      </w:r>
      <w:hyperlink r:id="rId2" w:history="1">
        <w:r w:rsidRPr="00D37B9F">
          <w:rPr>
            <w:rStyle w:val="Hyperlink"/>
            <w:sz w:val="18"/>
            <w:szCs w:val="16"/>
          </w:rPr>
          <w:t>ACIP Review of PBR Enforcement</w:t>
        </w:r>
      </w:hyperlink>
      <w:r w:rsidRPr="00D37B9F">
        <w:rPr>
          <w:sz w:val="18"/>
          <w:szCs w:val="16"/>
        </w:rPr>
        <w:t xml:space="preserve">, and the 2016 </w:t>
      </w:r>
      <w:hyperlink r:id="rId3" w:history="1">
        <w:r w:rsidRPr="00D37B9F">
          <w:rPr>
            <w:rStyle w:val="Hyperlink"/>
            <w:sz w:val="18"/>
            <w:szCs w:val="16"/>
          </w:rPr>
          <w:t>Productivity Commission Inquiry into Australia’s IP arrangements</w:t>
        </w:r>
      </w:hyperlink>
      <w:r w:rsidRPr="00D37B9F">
        <w:rPr>
          <w:sz w:val="18"/>
          <w:szCs w:val="16"/>
        </w:rPr>
        <w:t>.</w:t>
      </w:r>
    </w:p>
  </w:footnote>
  <w:footnote w:id="3">
    <w:p w14:paraId="00D8B947" w14:textId="1D103869" w:rsidR="00406BC7" w:rsidRPr="00406BC7" w:rsidRDefault="00406BC7" w:rsidP="00406BC7">
      <w:pPr>
        <w:pStyle w:val="FootnoteText"/>
        <w:rPr>
          <w:sz w:val="20"/>
          <w:szCs w:val="18"/>
        </w:rPr>
      </w:pPr>
      <w:r>
        <w:rPr>
          <w:rStyle w:val="FootnoteReference"/>
        </w:rPr>
        <w:footnoteRef/>
      </w:r>
      <w:r>
        <w:t xml:space="preserve"> </w:t>
      </w:r>
      <w:r w:rsidRPr="00406BC7">
        <w:rPr>
          <w:sz w:val="20"/>
          <w:szCs w:val="18"/>
        </w:rPr>
        <w:t>I</w:t>
      </w:r>
      <w:r w:rsidRPr="00406BC7">
        <w:rPr>
          <w:sz w:val="18"/>
          <w:szCs w:val="16"/>
        </w:rPr>
        <w:t xml:space="preserve">P Australia Consultation Hub, ‘Proposed changes to UPOV Explanatory Notes on Essentially Derived Varieties’, </w:t>
      </w:r>
    </w:p>
  </w:footnote>
  <w:footnote w:id="4">
    <w:p w14:paraId="18429031" w14:textId="45B990EB" w:rsidR="00406BC7" w:rsidRPr="00406BC7" w:rsidRDefault="00406BC7">
      <w:pPr>
        <w:pStyle w:val="FootnoteText"/>
        <w:rPr>
          <w:lang w:val="en-US"/>
        </w:rPr>
      </w:pPr>
      <w:r>
        <w:rPr>
          <w:rStyle w:val="FootnoteReference"/>
        </w:rPr>
        <w:footnoteRef/>
      </w:r>
      <w:r>
        <w:t xml:space="preserve"> </w:t>
      </w:r>
      <w:r w:rsidRPr="00406BC7">
        <w:rPr>
          <w:sz w:val="18"/>
          <w:szCs w:val="16"/>
        </w:rPr>
        <w:t>Hamish MacDonald and Brad Sherman, Essentially Derived Varieties and the Plant Breeder’s Rights Act 1994 (</w:t>
      </w:r>
      <w:r w:rsidRPr="00406BC7">
        <w:rPr>
          <w:sz w:val="18"/>
          <w:szCs w:val="16"/>
        </w:rPr>
        <w:t xml:space="preserve">Cth) (University of Queensland, 2022), available at: </w:t>
      </w:r>
      <w:hyperlink r:id="rId4" w:history="1">
        <w:r w:rsidRPr="00406BC7">
          <w:rPr>
            <w:rStyle w:val="Hyperlink"/>
            <w:sz w:val="18"/>
            <w:szCs w:val="16"/>
          </w:rPr>
          <w:t>University of Queensland PBR policy research</w:t>
        </w:r>
      </w:hyperlink>
    </w:p>
  </w:footnote>
  <w:footnote w:id="5">
    <w:p w14:paraId="1AB20D63" w14:textId="7C5F7513" w:rsidR="00150CEA" w:rsidRPr="007976EC" w:rsidRDefault="00150CEA" w:rsidP="00595EFE">
      <w:pPr>
        <w:pStyle w:val="FootnoteText"/>
        <w:spacing w:after="0" w:line="240" w:lineRule="atLeast"/>
        <w:jc w:val="both"/>
        <w:rPr>
          <w:sz w:val="16"/>
          <w:szCs w:val="16"/>
          <w:lang w:val="en-US"/>
        </w:rPr>
      </w:pPr>
      <w:r w:rsidRPr="007976EC">
        <w:rPr>
          <w:rStyle w:val="FootnoteReference"/>
          <w:sz w:val="16"/>
          <w:szCs w:val="16"/>
        </w:rPr>
        <w:footnoteRef/>
      </w:r>
      <w:r w:rsidRPr="007976EC">
        <w:rPr>
          <w:sz w:val="16"/>
          <w:szCs w:val="16"/>
        </w:rPr>
        <w:t xml:space="preserve"> </w:t>
      </w:r>
      <w:r w:rsidRPr="007976EC">
        <w:rPr>
          <w:rFonts w:cs="Calibri"/>
          <w:color w:val="000000"/>
          <w:sz w:val="16"/>
          <w:szCs w:val="16"/>
        </w:rPr>
        <w:t>The International Union for the Protection of New Varieties of Plants (UPOV) is an intergovernmental organisation established in 1961 through the UPOV Convention. The Convention was revised in 1972, 1978 and 1991</w:t>
      </w:r>
      <w:r w:rsidR="0078673F">
        <w:rPr>
          <w:rFonts w:cs="Calibri"/>
          <w:color w:val="000000"/>
          <w:sz w:val="16"/>
          <w:szCs w:val="16"/>
        </w:rPr>
        <w:t xml:space="preserve">. </w:t>
      </w:r>
    </w:p>
  </w:footnote>
  <w:footnote w:id="6">
    <w:p w14:paraId="375F4F38" w14:textId="08ADB2D4" w:rsidR="005E5FEB" w:rsidRPr="007976EC" w:rsidRDefault="005E5FEB" w:rsidP="00595EFE">
      <w:pPr>
        <w:pStyle w:val="FootnoteText"/>
        <w:spacing w:after="0" w:line="240" w:lineRule="atLeast"/>
        <w:jc w:val="both"/>
        <w:rPr>
          <w:sz w:val="16"/>
          <w:szCs w:val="16"/>
          <w:lang w:val="en-US"/>
        </w:rPr>
      </w:pPr>
      <w:r w:rsidRPr="007976EC">
        <w:rPr>
          <w:rStyle w:val="FootnoteReference"/>
          <w:sz w:val="16"/>
          <w:szCs w:val="16"/>
        </w:rPr>
        <w:footnoteRef/>
      </w:r>
      <w:r w:rsidRPr="007976EC">
        <w:rPr>
          <w:sz w:val="16"/>
          <w:szCs w:val="16"/>
        </w:rPr>
        <w:t xml:space="preserve"> </w:t>
      </w:r>
      <w:r w:rsidRPr="007976EC">
        <w:rPr>
          <w:sz w:val="16"/>
          <w:szCs w:val="16"/>
          <w:lang w:val="en-US"/>
        </w:rPr>
        <w:t>Jay Sanderson, Plants, People and Practices. The Nature and History of the UPOV Convention, Cambridge University Press, 2017, 210.</w:t>
      </w:r>
    </w:p>
  </w:footnote>
  <w:footnote w:id="7">
    <w:p w14:paraId="5E6EE3FE" w14:textId="3589E818" w:rsidR="005E5FEB" w:rsidRPr="007976EC" w:rsidRDefault="005E5FEB" w:rsidP="00595EFE">
      <w:pPr>
        <w:pStyle w:val="FootnoteText"/>
        <w:spacing w:after="0" w:line="240" w:lineRule="atLeast"/>
        <w:jc w:val="both"/>
        <w:rPr>
          <w:sz w:val="16"/>
          <w:szCs w:val="16"/>
          <w:lang w:val="en-GB"/>
        </w:rPr>
      </w:pPr>
      <w:r w:rsidRPr="007976EC">
        <w:rPr>
          <w:rStyle w:val="FootnoteReference"/>
          <w:sz w:val="16"/>
          <w:szCs w:val="16"/>
        </w:rPr>
        <w:footnoteRef/>
      </w:r>
      <w:r w:rsidRPr="007976EC" w:rsidDel="00EA264D">
        <w:rPr>
          <w:sz w:val="16"/>
          <w:szCs w:val="16"/>
        </w:rPr>
        <w:t xml:space="preserve"> </w:t>
      </w:r>
      <w:r w:rsidR="009E02A7">
        <w:rPr>
          <w:sz w:val="16"/>
          <w:szCs w:val="16"/>
        </w:rPr>
        <w:t>Jay</w:t>
      </w:r>
      <w:r w:rsidRPr="007976EC">
        <w:rPr>
          <w:sz w:val="16"/>
          <w:szCs w:val="16"/>
        </w:rPr>
        <w:t xml:space="preserve"> Sanderson, </w:t>
      </w:r>
      <w:r w:rsidRPr="007976EC">
        <w:rPr>
          <w:sz w:val="16"/>
          <w:szCs w:val="16"/>
          <w:lang w:val="en-US"/>
        </w:rPr>
        <w:t>Plants, People and Practices. The Nature and History of the UPOV Convention</w:t>
      </w:r>
      <w:r w:rsidRPr="007976EC">
        <w:rPr>
          <w:sz w:val="16"/>
          <w:szCs w:val="16"/>
        </w:rPr>
        <w:t xml:space="preserve">, </w:t>
      </w:r>
      <w:r w:rsidR="009E02A7" w:rsidRPr="007976EC">
        <w:rPr>
          <w:sz w:val="16"/>
          <w:szCs w:val="16"/>
          <w:lang w:val="en-US"/>
        </w:rPr>
        <w:t>Cambridge University Press</w:t>
      </w:r>
      <w:r w:rsidR="009E02A7">
        <w:rPr>
          <w:sz w:val="16"/>
          <w:szCs w:val="16"/>
          <w:lang w:val="en-US"/>
        </w:rPr>
        <w:t>,</w:t>
      </w:r>
      <w:r w:rsidRPr="007976EC" w:rsidDel="00EA264D">
        <w:rPr>
          <w:sz w:val="16"/>
          <w:szCs w:val="16"/>
        </w:rPr>
        <w:t xml:space="preserve"> </w:t>
      </w:r>
      <w:r w:rsidR="00094132" w:rsidRPr="007976EC">
        <w:rPr>
          <w:sz w:val="16"/>
          <w:szCs w:val="16"/>
          <w:lang w:val="en-US"/>
        </w:rPr>
        <w:t>2017</w:t>
      </w:r>
      <w:r w:rsidR="00094132">
        <w:rPr>
          <w:sz w:val="16"/>
          <w:szCs w:val="16"/>
          <w:lang w:val="en-US"/>
        </w:rPr>
        <w:t xml:space="preserve">, </w:t>
      </w:r>
      <w:r w:rsidRPr="007976EC">
        <w:rPr>
          <w:sz w:val="16"/>
          <w:szCs w:val="16"/>
        </w:rPr>
        <w:t>p209-211</w:t>
      </w:r>
    </w:p>
  </w:footnote>
  <w:footnote w:id="8">
    <w:p w14:paraId="275E8C02" w14:textId="11C99A71" w:rsidR="002F3A7C" w:rsidRPr="00D37B9F" w:rsidRDefault="002F3A7C" w:rsidP="002F3A7C">
      <w:pPr>
        <w:pStyle w:val="FootnoteText"/>
        <w:spacing w:after="0"/>
        <w:jc w:val="both"/>
        <w:rPr>
          <w:sz w:val="18"/>
          <w:szCs w:val="16"/>
          <w:lang w:val="en-US"/>
        </w:rPr>
      </w:pPr>
      <w:r w:rsidRPr="00D37B9F">
        <w:rPr>
          <w:rStyle w:val="FootnoteReference"/>
          <w:sz w:val="18"/>
          <w:szCs w:val="18"/>
        </w:rPr>
        <w:footnoteRef/>
      </w:r>
      <w:r w:rsidRPr="00D37B9F">
        <w:rPr>
          <w:sz w:val="18"/>
          <w:szCs w:val="16"/>
        </w:rPr>
        <w:t xml:space="preserve"> </w:t>
      </w:r>
      <w:r w:rsidRPr="00D37B9F">
        <w:rPr>
          <w:sz w:val="18"/>
          <w:szCs w:val="16"/>
          <w:lang w:val="en-US"/>
        </w:rPr>
        <w:t xml:space="preserve">Details of these cases are available in Doug Waterhouse, ‘Experience on Essentially Derived Varieties in Australia’, </w:t>
      </w:r>
      <w:hyperlink r:id="rId5" w:history="1">
        <w:r w:rsidRPr="00D37B9F">
          <w:rPr>
            <w:rStyle w:val="Hyperlink"/>
            <w:sz w:val="18"/>
            <w:szCs w:val="16"/>
            <w:lang w:val="en-US"/>
          </w:rPr>
          <w:t>Seminar on Essentially Derived Varieties</w:t>
        </w:r>
      </w:hyperlink>
      <w:r w:rsidRPr="00D37B9F">
        <w:rPr>
          <w:sz w:val="18"/>
          <w:szCs w:val="16"/>
          <w:lang w:val="en-US"/>
        </w:rPr>
        <w:t>, International Union for the Protection of New Varieties of Plants (UPOV), Geneva, 22 October 2013.</w:t>
      </w:r>
    </w:p>
  </w:footnote>
  <w:footnote w:id="9">
    <w:p w14:paraId="0EC96664" w14:textId="0954D254" w:rsidR="00F46125" w:rsidRPr="007155B8" w:rsidRDefault="00F46125">
      <w:pPr>
        <w:pStyle w:val="FootnoteText"/>
        <w:rPr>
          <w:lang w:val="en-US"/>
        </w:rPr>
      </w:pPr>
      <w:r>
        <w:rPr>
          <w:rStyle w:val="FootnoteReference"/>
        </w:rPr>
        <w:footnoteRef/>
      </w:r>
      <w:r>
        <w:t xml:space="preserve"> </w:t>
      </w:r>
      <w:r w:rsidR="007155B8" w:rsidRPr="00D37B9F">
        <w:rPr>
          <w:sz w:val="18"/>
          <w:szCs w:val="16"/>
        </w:rPr>
        <w:t xml:space="preserve">The </w:t>
      </w:r>
      <w:hyperlink r:id="rId6" w:history="1">
        <w:r w:rsidR="007155B8" w:rsidRPr="00D37B9F">
          <w:rPr>
            <w:rStyle w:val="Hyperlink"/>
            <w:sz w:val="18"/>
            <w:szCs w:val="16"/>
          </w:rPr>
          <w:t>University of Queensland Research Report on EDVs</w:t>
        </w:r>
      </w:hyperlink>
      <w:r w:rsidR="007155B8" w:rsidRPr="00D37B9F">
        <w:rPr>
          <w:sz w:val="18"/>
          <w:szCs w:val="16"/>
        </w:rPr>
        <w:t xml:space="preserve"> considered international case law on EDVs (pages 7-9). The question of essential characteristics was considered in the 2015 Italian case </w:t>
      </w:r>
      <w:r w:rsidR="007155B8" w:rsidRPr="00D37B9F">
        <w:rPr>
          <w:i/>
          <w:sz w:val="18"/>
          <w:szCs w:val="16"/>
        </w:rPr>
        <w:t xml:space="preserve">Almo </w:t>
      </w:r>
      <w:r w:rsidR="007155B8" w:rsidRPr="00D37B9F">
        <w:rPr>
          <w:i/>
          <w:sz w:val="18"/>
          <w:szCs w:val="16"/>
        </w:rPr>
        <w:t>s.p.a. v Sardo Piemontese Sementi Soc. Coop. Società Agricola</w:t>
      </w:r>
      <w:r w:rsidR="007155B8" w:rsidRPr="00D37B9F">
        <w:rPr>
          <w:sz w:val="18"/>
          <w:szCs w:val="16"/>
        </w:rPr>
        <w:t>. This case is the only case which attempted to comprehensively enumerate the essential characteristics to be compared.</w:t>
      </w:r>
    </w:p>
  </w:footnote>
  <w:footnote w:id="10">
    <w:p w14:paraId="30F6FB3F" w14:textId="77777777" w:rsidR="001B68CB" w:rsidRPr="00B9303F" w:rsidRDefault="001B68CB" w:rsidP="001B68CB">
      <w:pPr>
        <w:pStyle w:val="FootnoteText"/>
        <w:rPr>
          <w:lang w:val="en-US"/>
        </w:rPr>
      </w:pPr>
      <w:r>
        <w:rPr>
          <w:rStyle w:val="FootnoteReference"/>
        </w:rPr>
        <w:footnoteRef/>
      </w:r>
      <w:r>
        <w:t xml:space="preserve"> </w:t>
      </w:r>
      <w:r w:rsidRPr="007976EC">
        <w:rPr>
          <w:sz w:val="18"/>
          <w:szCs w:val="16"/>
          <w:lang w:val="en-US"/>
        </w:rPr>
        <w:t xml:space="preserve">Recommendation 9 of the </w:t>
      </w:r>
      <w:r w:rsidRPr="007976EC">
        <w:rPr>
          <w:sz w:val="18"/>
          <w:szCs w:val="16"/>
        </w:rPr>
        <w:t xml:space="preserve">2010 </w:t>
      </w:r>
      <w:hyperlink r:id="rId7" w:history="1">
        <w:r w:rsidRPr="007976EC">
          <w:rPr>
            <w:rStyle w:val="Hyperlink"/>
            <w:sz w:val="18"/>
            <w:szCs w:val="16"/>
          </w:rPr>
          <w:t>ACIP Review of PBR Enforcement</w:t>
        </w:r>
      </w:hyperlink>
      <w:r w:rsidRPr="007976EC">
        <w:rPr>
          <w:sz w:val="18"/>
          <w:szCs w:val="16"/>
          <w:lang w:val="en-US"/>
        </w:rPr>
        <w:t>.</w:t>
      </w:r>
    </w:p>
  </w:footnote>
  <w:footnote w:id="11">
    <w:p w14:paraId="14291F2A" w14:textId="6BB70AB6" w:rsidR="0086507F" w:rsidRDefault="00DC3000" w:rsidP="00AA4DD6">
      <w:pPr>
        <w:spacing w:after="0" w:line="160" w:lineRule="atLeast"/>
      </w:pPr>
      <w:r w:rsidRPr="00D37B9F">
        <w:rPr>
          <w:rStyle w:val="FootnoteReference"/>
          <w:sz w:val="20"/>
        </w:rPr>
        <w:footnoteRef/>
      </w:r>
      <w:r w:rsidRPr="00D37B9F">
        <w:rPr>
          <w:sz w:val="20"/>
        </w:rPr>
        <w:t xml:space="preserve"> </w:t>
      </w:r>
      <w:r w:rsidRPr="00D37B9F">
        <w:rPr>
          <w:sz w:val="18"/>
          <w:lang w:val="en-GB"/>
        </w:rPr>
        <w:t>Productivity Commission 2016, Intellectual property arrangements, Inquiry Report No. 78, p. 419</w:t>
      </w:r>
    </w:p>
  </w:footnote>
  <w:footnote w:id="12">
    <w:p w14:paraId="0AE173BC" w14:textId="3FCC2685" w:rsidR="003B3E34" w:rsidRPr="003B3E34" w:rsidRDefault="003B3E34" w:rsidP="00AA4DD6">
      <w:pPr>
        <w:pStyle w:val="FootnoteText"/>
        <w:spacing w:after="0" w:line="160" w:lineRule="atLeast"/>
        <w:rPr>
          <w:lang w:val="en-US"/>
        </w:rPr>
      </w:pPr>
      <w:r>
        <w:rPr>
          <w:rStyle w:val="FootnoteReference"/>
        </w:rPr>
        <w:footnoteRef/>
      </w:r>
      <w:r>
        <w:t xml:space="preserve"> </w:t>
      </w:r>
      <w:r w:rsidRPr="00D37B9F">
        <w:rPr>
          <w:sz w:val="18"/>
          <w:szCs w:val="16"/>
        </w:rPr>
        <w:t xml:space="preserve">IP Australia </w:t>
      </w:r>
      <w:r w:rsidRPr="00D37B9F">
        <w:rPr>
          <w:sz w:val="18"/>
          <w:szCs w:val="16"/>
          <w:lang w:val="en-US"/>
        </w:rPr>
        <w:t xml:space="preserve">2021 Consultation, </w:t>
      </w:r>
      <w:hyperlink r:id="rId8" w:history="1">
        <w:r w:rsidRPr="00D37B9F">
          <w:rPr>
            <w:rStyle w:val="Hyperlink"/>
            <w:sz w:val="18"/>
            <w:szCs w:val="16"/>
            <w:lang w:val="en-US"/>
          </w:rPr>
          <w:t>Proposed changes to UPOV Explanatory Notes on Essentially Derived Varieties</w:t>
        </w:r>
      </w:hyperlink>
    </w:p>
  </w:footnote>
  <w:footnote w:id="13">
    <w:p w14:paraId="6F452FCD" w14:textId="77777777" w:rsidR="00BE04F1" w:rsidRPr="00B9303F" w:rsidRDefault="00BE04F1" w:rsidP="00BE04F1">
      <w:pPr>
        <w:pStyle w:val="FootnoteText"/>
        <w:rPr>
          <w:lang w:val="en-US"/>
        </w:rPr>
      </w:pPr>
      <w:r>
        <w:rPr>
          <w:rStyle w:val="FootnoteReference"/>
        </w:rPr>
        <w:footnoteRef/>
      </w:r>
      <w:r>
        <w:t xml:space="preserve"> </w:t>
      </w:r>
      <w:r w:rsidRPr="007976EC">
        <w:rPr>
          <w:sz w:val="18"/>
          <w:szCs w:val="16"/>
        </w:rPr>
        <w:t>The University of Queensland's review of international case law identified only eight essential derivation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33045" w14:textId="731C54A4" w:rsidR="001C6DBE" w:rsidRDefault="009A2015">
    <w:pPr>
      <w:pStyle w:val="Header"/>
    </w:pPr>
    <w:r>
      <w:rPr>
        <w:noProof/>
      </w:rPr>
      <mc:AlternateContent>
        <mc:Choice Requires="wps">
          <w:drawing>
            <wp:anchor distT="0" distB="0" distL="0" distR="0" simplePos="0" relativeHeight="251658244" behindDoc="0" locked="0" layoutInCell="1" allowOverlap="1" wp14:anchorId="20E808F2" wp14:editId="22B690A2">
              <wp:simplePos x="635" y="635"/>
              <wp:positionH relativeFrom="page">
                <wp:align>center</wp:align>
              </wp:positionH>
              <wp:positionV relativeFrom="page">
                <wp:align>top</wp:align>
              </wp:positionV>
              <wp:extent cx="643255" cy="407670"/>
              <wp:effectExtent l="0" t="0" r="4445" b="11430"/>
              <wp:wrapNone/>
              <wp:docPr id="4093903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28625441" w14:textId="5F46F995" w:rsidR="009A2015" w:rsidRPr="009A2015" w:rsidRDefault="009A2015" w:rsidP="009A2015">
                          <w:pPr>
                            <w:spacing w:after="0"/>
                            <w:rPr>
                              <w:rFonts w:ascii="Aptos" w:eastAsia="Aptos" w:hAnsi="Aptos" w:cs="Aptos"/>
                              <w:noProof/>
                              <w:color w:val="FF0000"/>
                              <w:sz w:val="28"/>
                              <w:szCs w:val="28"/>
                            </w:rPr>
                          </w:pPr>
                          <w:r w:rsidRPr="009A2015">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E808F2" id="_x0000_t202" coordsize="21600,21600" o:spt="202" path="m,l,21600r21600,l21600,xe">
              <v:stroke joinstyle="miter"/>
              <v:path gradientshapeok="t" o:connecttype="rect"/>
            </v:shapetype>
            <v:shape id="Text Box 3" o:spid="_x0000_s1026" type="#_x0000_t202" alt="OFFICIAL" style="position:absolute;margin-left:0;margin-top:0;width:50.65pt;height:32.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" filled="f" stroked="f">
              <v:textbox style="mso-fit-shape-to-text:t" inset="0,15pt,0,0">
                <w:txbxContent>
                  <w:p w14:paraId="28625441" w14:textId="5F46F995" w:rsidR="009A2015" w:rsidRPr="009A2015" w:rsidRDefault="009A2015" w:rsidP="009A2015">
                    <w:pPr>
                      <w:spacing w:after="0"/>
                      <w:rPr>
                        <w:rFonts w:ascii="Aptos" w:eastAsia="Aptos" w:hAnsi="Aptos" w:cs="Aptos"/>
                        <w:noProof/>
                        <w:color w:val="FF0000"/>
                        <w:sz w:val="28"/>
                        <w:szCs w:val="28"/>
                      </w:rPr>
                    </w:pPr>
                    <w:r w:rsidRPr="009A2015">
                      <w:rPr>
                        <w:rFonts w:ascii="Aptos" w:eastAsia="Aptos" w:hAnsi="Aptos" w:cs="Aptos"/>
                        <w:noProof/>
                        <w:color w:val="FF0000"/>
                        <w:sz w:val="28"/>
                        <w:szCs w:val="28"/>
                      </w:rPr>
                      <w:t>OFFICIAL</w:t>
                    </w:r>
                  </w:p>
                </w:txbxContent>
              </v:textbox>
              <w10:wrap anchorx="page" anchory="page"/>
            </v:shape>
          </w:pict>
        </mc:Fallback>
      </mc:AlternateContent>
    </w:r>
  </w:p>
  <w:p w14:paraId="2E5FCA1E" w14:textId="77777777" w:rsidR="00BA7EFA" w:rsidRDefault="00BA7EFA"/>
  <w:p w14:paraId="2BD9AEE6" w14:textId="77777777" w:rsidR="00BA7EFA" w:rsidRDefault="00BA7E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406D" w14:textId="6645F051" w:rsidR="005E5FEB" w:rsidRDefault="009A2015" w:rsidP="00B30B12">
    <w:pPr>
      <w:pStyle w:val="Header"/>
      <w:jc w:val="center"/>
    </w:pPr>
    <w:r>
      <w:rPr>
        <w:noProof/>
      </w:rPr>
      <mc:AlternateContent>
        <mc:Choice Requires="wps">
          <w:drawing>
            <wp:anchor distT="0" distB="0" distL="0" distR="0" simplePos="0" relativeHeight="251658245" behindDoc="0" locked="0" layoutInCell="1" allowOverlap="1" wp14:anchorId="3BAB6CCD" wp14:editId="3303AABF">
              <wp:simplePos x="635" y="635"/>
              <wp:positionH relativeFrom="page">
                <wp:align>center</wp:align>
              </wp:positionH>
              <wp:positionV relativeFrom="page">
                <wp:align>top</wp:align>
              </wp:positionV>
              <wp:extent cx="643255" cy="407670"/>
              <wp:effectExtent l="0" t="0" r="4445" b="11430"/>
              <wp:wrapNone/>
              <wp:docPr id="13448732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32909E5F" w14:textId="71186BB7" w:rsidR="009A2015" w:rsidRPr="009A2015" w:rsidRDefault="009A2015" w:rsidP="009A2015">
                          <w:pPr>
                            <w:spacing w:after="0"/>
                            <w:rPr>
                              <w:rFonts w:ascii="Aptos" w:eastAsia="Aptos" w:hAnsi="Aptos" w:cs="Aptos"/>
                              <w:noProof/>
                              <w:color w:val="FF0000"/>
                              <w:sz w:val="28"/>
                              <w:szCs w:val="28"/>
                            </w:rPr>
                          </w:pPr>
                          <w:r w:rsidRPr="009A2015">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AB6CCD" id="_x0000_t202" coordsize="21600,21600" o:spt="202" path="m,l,21600r21600,l21600,xe">
              <v:stroke joinstyle="miter"/>
              <v:path gradientshapeok="t" o:connecttype="rect"/>
            </v:shapetype>
            <v:shape id="Text Box 4" o:spid="_x0000_s1027" type="#_x0000_t202" alt="OFFICIAL" style="position:absolute;left:0;text-align:left;margin-left:0;margin-top:0;width:50.65pt;height:32.1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" filled="f" stroked="f">
              <v:textbox style="mso-fit-shape-to-text:t" inset="0,15pt,0,0">
                <w:txbxContent>
                  <w:p w14:paraId="32909E5F" w14:textId="71186BB7" w:rsidR="009A2015" w:rsidRPr="009A2015" w:rsidRDefault="009A2015" w:rsidP="009A2015">
                    <w:pPr>
                      <w:spacing w:after="0"/>
                      <w:rPr>
                        <w:rFonts w:ascii="Aptos" w:eastAsia="Aptos" w:hAnsi="Aptos" w:cs="Aptos"/>
                        <w:noProof/>
                        <w:color w:val="FF0000"/>
                        <w:sz w:val="28"/>
                        <w:szCs w:val="28"/>
                      </w:rPr>
                    </w:pPr>
                    <w:r w:rsidRPr="009A2015">
                      <w:rPr>
                        <w:rFonts w:ascii="Aptos" w:eastAsia="Aptos" w:hAnsi="Aptos" w:cs="Aptos"/>
                        <w:noProof/>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E1D8" w14:textId="427CCB05" w:rsidR="001C6DBE" w:rsidRDefault="009A2015" w:rsidP="00B10E77">
    <w:pPr>
      <w:pStyle w:val="Header"/>
      <w:tabs>
        <w:tab w:val="left" w:pos="7901"/>
      </w:tabs>
    </w:pPr>
    <w:r>
      <w:rPr>
        <w:noProof/>
      </w:rPr>
      <mc:AlternateContent>
        <mc:Choice Requires="wps">
          <w:drawing>
            <wp:anchor distT="0" distB="0" distL="0" distR="0" simplePos="0" relativeHeight="251658243" behindDoc="0" locked="0" layoutInCell="1" allowOverlap="1" wp14:anchorId="488549AB" wp14:editId="57604540">
              <wp:simplePos x="635" y="635"/>
              <wp:positionH relativeFrom="page">
                <wp:align>center</wp:align>
              </wp:positionH>
              <wp:positionV relativeFrom="page">
                <wp:align>top</wp:align>
              </wp:positionV>
              <wp:extent cx="643255" cy="407670"/>
              <wp:effectExtent l="0" t="0" r="4445" b="11430"/>
              <wp:wrapNone/>
              <wp:docPr id="79641828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4CE48E54" w14:textId="7735060D" w:rsidR="009A2015" w:rsidRPr="009A2015" w:rsidRDefault="009A2015" w:rsidP="009A2015">
                          <w:pPr>
                            <w:spacing w:after="0"/>
                            <w:rPr>
                              <w:rFonts w:ascii="Aptos" w:eastAsia="Aptos" w:hAnsi="Aptos" w:cs="Aptos"/>
                              <w:noProof/>
                              <w:color w:val="FF0000"/>
                              <w:sz w:val="28"/>
                              <w:szCs w:val="28"/>
                            </w:rPr>
                          </w:pPr>
                          <w:r w:rsidRPr="009A2015">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8549AB" id="_x0000_t202" coordsize="21600,21600" o:spt="202" path="m,l,21600r21600,l21600,xe">
              <v:stroke joinstyle="miter"/>
              <v:path gradientshapeok="t" o:connecttype="rect"/>
            </v:shapetype>
            <v:shape id="Text Box 2" o:spid="_x0000_s1030" type="#_x0000_t202" alt="OFFICIAL" style="position:absolute;margin-left:0;margin-top:0;width:50.65pt;height:32.1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04DgIAABwEAAAOAAAAZHJzL2Uyb0RvYy54bWysU02P2jAQvVfqf7B8Lwl0Y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" filled="f" stroked="f">
              <v:textbox style="mso-fit-shape-to-text:t" inset="0,15pt,0,0">
                <w:txbxContent>
                  <w:p w14:paraId="4CE48E54" w14:textId="7735060D" w:rsidR="009A2015" w:rsidRPr="009A2015" w:rsidRDefault="009A2015" w:rsidP="009A2015">
                    <w:pPr>
                      <w:spacing w:after="0"/>
                      <w:rPr>
                        <w:rFonts w:ascii="Aptos" w:eastAsia="Aptos" w:hAnsi="Aptos" w:cs="Aptos"/>
                        <w:noProof/>
                        <w:color w:val="FF0000"/>
                        <w:sz w:val="28"/>
                        <w:szCs w:val="28"/>
                      </w:rPr>
                    </w:pPr>
                    <w:r w:rsidRPr="009A2015">
                      <w:rPr>
                        <w:rFonts w:ascii="Aptos" w:eastAsia="Aptos" w:hAnsi="Aptos" w:cs="Aptos"/>
                        <w:noProof/>
                        <w:color w:val="FF0000"/>
                        <w:sz w:val="28"/>
                        <w:szCs w:val="28"/>
                      </w:rPr>
                      <w:t>OFFICIAL</w:t>
                    </w:r>
                  </w:p>
                </w:txbxContent>
              </v:textbox>
              <w10:wrap anchorx="page" anchory="page"/>
            </v:shape>
          </w:pict>
        </mc:Fallback>
      </mc:AlternateContent>
    </w:r>
    <w:r w:rsidR="001C6DBE">
      <w:rPr>
        <w:noProof/>
      </w:rPr>
      <w:drawing>
        <wp:anchor distT="0" distB="0" distL="114300" distR="114300" simplePos="0" relativeHeight="251658241" behindDoc="0" locked="0" layoutInCell="1" allowOverlap="1" wp14:anchorId="76520DBB" wp14:editId="44E5BA91">
          <wp:simplePos x="0" y="0"/>
          <wp:positionH relativeFrom="column">
            <wp:posOffset>-635</wp:posOffset>
          </wp:positionH>
          <wp:positionV relativeFrom="paragraph">
            <wp:posOffset>4396105</wp:posOffset>
          </wp:positionV>
          <wp:extent cx="1386843" cy="271273"/>
          <wp:effectExtent l="0" t="0" r="3810" b="0"/>
          <wp:wrapNone/>
          <wp:docPr id="713288068" name="Picture 11" descr="A picture containing text,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text, gauge&#10;&#10;Description automatically generated"/>
                  <pic:cNvPicPr/>
                </pic:nvPicPr>
                <pic:blipFill>
                  <a:blip r:embed="rId1"/>
                  <a:stretch>
                    <a:fillRect/>
                  </a:stretch>
                </pic:blipFill>
                <pic:spPr>
                  <a:xfrm>
                    <a:off x="0" y="0"/>
                    <a:ext cx="1386843" cy="271273"/>
                  </a:xfrm>
                  <a:prstGeom prst="rect">
                    <a:avLst/>
                  </a:prstGeom>
                </pic:spPr>
              </pic:pic>
            </a:graphicData>
          </a:graphic>
          <wp14:sizeRelH relativeFrom="page">
            <wp14:pctWidth>0</wp14:pctWidth>
          </wp14:sizeRelH>
          <wp14:sizeRelV relativeFrom="page">
            <wp14:pctHeight>0</wp14:pctHeight>
          </wp14:sizeRelV>
        </wp:anchor>
      </w:drawing>
    </w:r>
    <w:r w:rsidR="001C6DBE">
      <w:rPr>
        <w:noProof/>
      </w:rPr>
      <w:drawing>
        <wp:anchor distT="0" distB="0" distL="114300" distR="114300" simplePos="0" relativeHeight="251658242" behindDoc="0" locked="0" layoutInCell="1" allowOverlap="1" wp14:anchorId="3C331B6D" wp14:editId="0FAFFAC5">
          <wp:simplePos x="0" y="0"/>
          <wp:positionH relativeFrom="column">
            <wp:posOffset>-1270</wp:posOffset>
          </wp:positionH>
          <wp:positionV relativeFrom="page">
            <wp:posOffset>572993</wp:posOffset>
          </wp:positionV>
          <wp:extent cx="1386000" cy="918000"/>
          <wp:effectExtent l="0" t="0" r="5080" b="0"/>
          <wp:wrapNone/>
          <wp:docPr id="139053108"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Text&#10;&#10;Description automatically generated"/>
                  <pic:cNvPicPr/>
                </pic:nvPicPr>
                <pic:blipFill>
                  <a:blip r:embed="rId2"/>
                  <a:stretch>
                    <a:fillRect/>
                  </a:stretch>
                </pic:blipFill>
                <pic:spPr>
                  <a:xfrm>
                    <a:off x="0" y="0"/>
                    <a:ext cx="1386000" cy="918000"/>
                  </a:xfrm>
                  <a:prstGeom prst="rect">
                    <a:avLst/>
                  </a:prstGeom>
                </pic:spPr>
              </pic:pic>
            </a:graphicData>
          </a:graphic>
          <wp14:sizeRelH relativeFrom="margin">
            <wp14:pctWidth>0</wp14:pctWidth>
          </wp14:sizeRelH>
          <wp14:sizeRelV relativeFrom="margin">
            <wp14:pctHeight>0</wp14:pctHeight>
          </wp14:sizeRelV>
        </wp:anchor>
      </w:drawing>
    </w:r>
    <w:r w:rsidR="001C6DBE">
      <w:rPr>
        <w:noProof/>
      </w:rPr>
      <mc:AlternateContent>
        <mc:Choice Requires="wps">
          <w:drawing>
            <wp:anchor distT="0" distB="0" distL="114300" distR="114300" simplePos="0" relativeHeight="251658240" behindDoc="1" locked="0" layoutInCell="1" allowOverlap="1" wp14:anchorId="6D3406B2" wp14:editId="7FF1BE2A">
              <wp:simplePos x="0" y="0"/>
              <wp:positionH relativeFrom="page">
                <wp:align>left</wp:align>
              </wp:positionH>
              <wp:positionV relativeFrom="page">
                <wp:align>top</wp:align>
              </wp:positionV>
              <wp:extent cx="7938000" cy="5367647"/>
              <wp:effectExtent l="0" t="0" r="6350" b="5080"/>
              <wp:wrapNone/>
              <wp:docPr id="2" name="Rectangle 13"/>
              <wp:cNvGraphicFramePr/>
              <a:graphic xmlns:a="http://schemas.openxmlformats.org/drawingml/2006/main">
                <a:graphicData uri="http://schemas.microsoft.com/office/word/2010/wordprocessingShape">
                  <wps:wsp>
                    <wps:cNvSpPr/>
                    <wps:spPr>
                      <a:xfrm>
                        <a:off x="0" y="0"/>
                        <a:ext cx="7938000" cy="5367647"/>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E2C7601" id="Rectangle 13" o:spid="_x0000_s1026" style="position:absolute;margin-left:0;margin-top:0;width:625.05pt;height:422.65pt;z-index:-251663360;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" fillcolor="#323e48 [3204]" stroked="f" strokeweight="2pt">
              <w10:wrap anchorx="page" anchory="page"/>
            </v:rect>
          </w:pict>
        </mc:Fallback>
      </mc:AlternateContent>
    </w:r>
    <w:r w:rsidR="001C6DB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B93"/>
    <w:multiLevelType w:val="hybridMultilevel"/>
    <w:tmpl w:val="7BE46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51147A"/>
    <w:multiLevelType w:val="hybridMultilevel"/>
    <w:tmpl w:val="3258A3A2"/>
    <w:lvl w:ilvl="0" w:tplc="FFFFFFFF">
      <w:start w:val="1"/>
      <w:numFmt w:val="decimal"/>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780311"/>
    <w:multiLevelType w:val="multilevel"/>
    <w:tmpl w:val="FEAEF510"/>
    <w:lvl w:ilvl="0">
      <w:start w:val="1"/>
      <w:numFmt w:val="upperLetter"/>
      <w:pStyle w:val="Heading5"/>
      <w:lvlText w:val="APPENDIX.%1"/>
      <w:lvlJc w:val="left"/>
      <w:pPr>
        <w:ind w:left="284" w:hanging="284"/>
      </w:pPr>
      <w:rPr>
        <w:rFonts w:ascii="Arial" w:hAnsi="Arial" w:hint="default"/>
        <w:b/>
        <w:i w:val="0"/>
        <w:color w:val="000000" w:themeColor="text2"/>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CD2668"/>
    <w:multiLevelType w:val="multilevel"/>
    <w:tmpl w:val="45485FC6"/>
    <w:lvl w:ilvl="0">
      <w:start w:val="1"/>
      <w:numFmt w:val="decimal"/>
      <w:pStyle w:val="MajorHeader"/>
      <w:lvlText w:val="%1."/>
      <w:lvlJc w:val="left"/>
      <w:pPr>
        <w:tabs>
          <w:tab w:val="num" w:pos="360"/>
        </w:tabs>
        <w:ind w:left="360" w:hanging="360"/>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B7D7118"/>
    <w:multiLevelType w:val="multilevel"/>
    <w:tmpl w:val="2F4286B0"/>
    <w:name w:val="Number_Edge"/>
    <w:styleLink w:val="NumberEdge"/>
    <w:lvl w:ilvl="0">
      <w:start w:val="1"/>
      <w:numFmt w:val="decimal"/>
      <w:lvlText w:val="%1"/>
      <w:lvlJc w:val="left"/>
      <w:pPr>
        <w:ind w:left="1021" w:hanging="1021"/>
      </w:pPr>
      <w:rPr>
        <w:rFonts w:ascii="Arial" w:hAnsi="Arial" w:hint="default"/>
        <w:b/>
        <w:i w:val="0"/>
        <w:color w:val="000000" w:themeColor="text2"/>
        <w:sz w:val="44"/>
      </w:rPr>
    </w:lvl>
    <w:lvl w:ilvl="1">
      <w:start w:val="1"/>
      <w:numFmt w:val="decimal"/>
      <w:lvlText w:val=""/>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abstractNum>
  <w:abstractNum w:abstractNumId="5" w15:restartNumberingAfterBreak="0">
    <w:nsid w:val="0CAD0BC6"/>
    <w:multiLevelType w:val="multilevel"/>
    <w:tmpl w:val="2F4286B0"/>
    <w:name w:val="Number_Edge4"/>
    <w:numStyleLink w:val="NumberEdge"/>
  </w:abstractNum>
  <w:abstractNum w:abstractNumId="6" w15:restartNumberingAfterBreak="0">
    <w:nsid w:val="0D7D2843"/>
    <w:multiLevelType w:val="multilevel"/>
    <w:tmpl w:val="082498F6"/>
    <w:lvl w:ilvl="0">
      <w:numFmt w:val="decimal"/>
      <w:pStyle w:val="TableBullet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C15879"/>
    <w:multiLevelType w:val="multilevel"/>
    <w:tmpl w:val="D7486C80"/>
    <w:lvl w:ilvl="0">
      <w:numFmt w:val="decimal"/>
      <w:pStyle w:val="DividerHead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095EE1"/>
    <w:multiLevelType w:val="multilevel"/>
    <w:tmpl w:val="2F4286B0"/>
    <w:name w:val="Number_Edge2"/>
    <w:numStyleLink w:val="NumberEdge"/>
  </w:abstractNum>
  <w:abstractNum w:abstractNumId="9" w15:restartNumberingAfterBreak="0">
    <w:nsid w:val="125A2F1C"/>
    <w:multiLevelType w:val="multilevel"/>
    <w:tmpl w:val="29E0CDEC"/>
    <w:styleLink w:val="IPAustraliaBullets"/>
    <w:lvl w:ilvl="0">
      <w:numFmt w:val="decimal"/>
      <w:pStyle w:val="ListBullet"/>
      <w:lvlText w:val=""/>
      <w:lvlJc w:val="left"/>
    </w:lvl>
    <w:lvl w:ilvl="1">
      <w:numFmt w:val="decimal"/>
      <w:pStyle w:val="ListBullet2"/>
      <w:lvlText w:val=""/>
      <w:lvlJc w:val="left"/>
    </w:lvl>
    <w:lvl w:ilvl="2">
      <w:numFmt w:val="decimal"/>
      <w:pStyle w:val="ListBullet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905213"/>
    <w:multiLevelType w:val="multilevel"/>
    <w:tmpl w:val="0FA8230A"/>
    <w:name w:val="Edge"/>
    <w:lvl w:ilvl="0">
      <w:numFmt w:val="decimal"/>
      <w:lvlText w:val=""/>
      <w:lvlJc w:val="left"/>
    </w:lvl>
    <w:lvl w:ilvl="1">
      <w:numFmt w:val="decimal"/>
      <w:lvlText w:val=""/>
      <w:lvlJc w:val="left"/>
    </w:lvl>
    <w:lvl w:ilvl="2">
      <w:numFmt w:val="decimal"/>
      <w:lvlText w:val=""/>
      <w:lvlJc w:val="left"/>
    </w:lvl>
    <w:lvl w:ilvl="3">
      <w:numFmt w:val="decimal"/>
      <w:lvlText w:val=""/>
      <w:lvlJc w:val="left"/>
      <w:pPr>
        <w:pBdr>
          <w:left w:val="single" w:sz="6" w:space="17" w:color="auto" w:shadow="1"/>
        </w:pBdr>
      </w:pPr>
    </w:lvl>
    <w:lvl w:ilvl="4">
      <w:numFmt w:val="decimal"/>
      <w:lvlText w:val=""/>
      <w:lvlJc w:val="left"/>
    </w:lvl>
    <w:lvl w:ilvl="5">
      <w:start w:val="1"/>
      <w:numFmt w:val="bullet"/>
      <w:lvlText w:val="-"/>
      <w:lvlJc w:val="left"/>
      <w:pPr>
        <w:ind w:left="720" w:hanging="360"/>
      </w:pPr>
      <w:rPr>
        <w:rFonts w:ascii="Calibri" w:eastAsia="MS Mincho" w:hAnsi="Calibri" w:cs="Calibri" w:hint="default"/>
        <w:color w:val="000000" w:themeColor="text2"/>
      </w:rPr>
    </w:lvl>
    <w:lvl w:ilvl="6" w:tentative="1">
      <w:start w:val="1"/>
      <w:numFmt w:val="bullet"/>
      <w:lvlText w:val="o"/>
      <w:lvlJc w:val="left"/>
      <w:pPr>
        <w:ind w:left="1440" w:hanging="360"/>
      </w:pPr>
      <w:rPr>
        <w:rFonts w:ascii="Courier New" w:hAnsi="Courier New" w:cs="Courier New" w:hint="default"/>
      </w:rPr>
    </w:lvl>
    <w:lvl w:ilvl="7" w:tentative="1">
      <w:start w:val="1"/>
      <w:numFmt w:val="bullet"/>
      <w:lvlText w:val=""/>
      <w:lvlJc w:val="left"/>
      <w:pPr>
        <w:ind w:left="2160" w:hanging="360"/>
      </w:pPr>
      <w:rPr>
        <w:rFonts w:ascii="Wingdings" w:hAnsi="Wingdings" w:hint="default"/>
      </w:rPr>
    </w:lvl>
    <w:lvl w:ilvl="8" w:tentative="1">
      <w:start w:val="1"/>
      <w:numFmt w:val="bullet"/>
      <w:lvlText w:val=""/>
      <w:lvlJc w:val="left"/>
      <w:pPr>
        <w:ind w:left="2880" w:hanging="360"/>
      </w:pPr>
      <w:rPr>
        <w:rFonts w:ascii="Symbol" w:hAnsi="Symbol" w:hint="default"/>
      </w:rPr>
    </w:lvl>
  </w:abstractNum>
  <w:abstractNum w:abstractNumId="11" w15:restartNumberingAfterBreak="0">
    <w:nsid w:val="13054E4A"/>
    <w:multiLevelType w:val="multilevel"/>
    <w:tmpl w:val="709ED840"/>
    <w:lvl w:ilvl="0" w:tentative="1">
      <w:start w:val="1"/>
      <w:numFmt w:val="bullet"/>
      <w:pStyle w:val="ListNumber5"/>
      <w:lvlText w:val="o"/>
      <w:lvlJc w:val="left"/>
      <w:pPr>
        <w:ind w:left="3600" w:hanging="360"/>
      </w:pPr>
      <w:rPr>
        <w:rFonts w:ascii="Courier New" w:hAnsi="Courier New" w:cs="Courier New" w:hint="default"/>
      </w:rPr>
    </w:lvl>
    <w:lvl w:ilvl="1" w:tentative="1">
      <w:start w:val="1"/>
      <w:numFmt w:val="bullet"/>
      <w:lvlText w:val=""/>
      <w:lvlJc w:val="left"/>
      <w:pPr>
        <w:ind w:left="4320" w:hanging="360"/>
      </w:pPr>
      <w:rPr>
        <w:rFonts w:ascii="Wingdings" w:hAnsi="Wingdings" w:hint="default"/>
      </w:rPr>
    </w:lvl>
    <w:lvl w:ilvl="2" w:tentative="1">
      <w:start w:val="1"/>
      <w:numFmt w:val="bullet"/>
      <w:lvlText w:val=""/>
      <w:lvlJc w:val="left"/>
      <w:pPr>
        <w:ind w:left="5040" w:hanging="360"/>
      </w:pPr>
      <w:rPr>
        <w:rFonts w:ascii="Symbol" w:hAnsi="Symbol" w:hint="default"/>
      </w:rPr>
    </w:lvl>
    <w:lvl w:ilvl="3" w:tentative="1">
      <w:start w:val="1"/>
      <w:numFmt w:val="bullet"/>
      <w:lvlText w:val="o"/>
      <w:lvlJc w:val="left"/>
      <w:pPr>
        <w:ind w:left="5760" w:hanging="360"/>
      </w:pPr>
      <w:rPr>
        <w:rFonts w:ascii="Courier New" w:hAnsi="Courier New" w:cs="Courier New" w:hint="default"/>
      </w:rPr>
    </w:lvl>
    <w:lvl w:ilvl="4" w:tentative="1">
      <w:start w:val="1"/>
      <w:numFmt w:val="bullet"/>
      <w:lvlText w:val=""/>
      <w:lvlJc w:val="left"/>
      <w:pPr>
        <w:ind w:left="6480" w:hanging="360"/>
      </w:pPr>
      <w:rPr>
        <w:rFonts w:ascii="Wingdings" w:hAnsi="Wingdings" w:hint="default"/>
      </w:rPr>
    </w:lvl>
    <w:lvl w:ilvl="5">
      <w:start w:val="1"/>
      <w:numFmt w:val="bullet"/>
      <w:lvlText w:val=""/>
      <w:lvlJc w:val="left"/>
      <w:pPr>
        <w:ind w:left="1440" w:hanging="360"/>
      </w:pPr>
      <w:rPr>
        <w:rFonts w:ascii="Symbol" w:hAnsi="Symbol" w:hint="default"/>
      </w:rPr>
    </w:lvl>
    <w:lvl w:ilvl="6" w:tentative="1">
      <w:start w:val="1"/>
      <w:numFmt w:val="bullet"/>
      <w:lvlText w:val="o"/>
      <w:lvlJc w:val="left"/>
      <w:pPr>
        <w:ind w:left="2160" w:hanging="360"/>
      </w:pPr>
      <w:rPr>
        <w:rFonts w:ascii="Courier New" w:hAnsi="Courier New" w:cs="Courier New" w:hint="default"/>
      </w:rPr>
    </w:lvl>
    <w:lvl w:ilvl="7" w:tentative="1">
      <w:start w:val="1"/>
      <w:numFmt w:val="bullet"/>
      <w:lvlText w:val=""/>
      <w:lvlJc w:val="left"/>
      <w:pPr>
        <w:ind w:left="2880" w:hanging="360"/>
      </w:pPr>
      <w:rPr>
        <w:rFonts w:ascii="Wingdings" w:hAnsi="Wingdings" w:hint="default"/>
      </w:rPr>
    </w:lvl>
    <w:lvl w:ilvl="8" w:tentative="1">
      <w:start w:val="1"/>
      <w:numFmt w:val="bullet"/>
      <w:lvlText w:val=""/>
      <w:lvlJc w:val="left"/>
      <w:pPr>
        <w:ind w:left="3600" w:hanging="360"/>
      </w:pPr>
      <w:rPr>
        <w:rFonts w:ascii="Symbol" w:hAnsi="Symbol" w:hint="default"/>
      </w:rPr>
    </w:lvl>
  </w:abstractNum>
  <w:abstractNum w:abstractNumId="12" w15:restartNumberingAfterBreak="0">
    <w:nsid w:val="16707280"/>
    <w:multiLevelType w:val="multilevel"/>
    <w:tmpl w:val="1E343666"/>
    <w:name w:val="ListBullet_Edge"/>
    <w:lvl w:ilvl="0" w:tentative="1">
      <w:start w:val="1"/>
      <w:numFmt w:val="bullet"/>
      <w:lvlText w:val="o"/>
      <w:lvlJc w:val="left"/>
      <w:pPr>
        <w:ind w:left="4320" w:hanging="360"/>
      </w:pPr>
      <w:rPr>
        <w:rFonts w:ascii="Courier New" w:hAnsi="Courier New" w:cs="Courier New" w:hint="default"/>
      </w:rPr>
    </w:lvl>
    <w:lvl w:ilvl="1" w:tentative="1">
      <w:start w:val="1"/>
      <w:numFmt w:val="bullet"/>
      <w:lvlText w:val=""/>
      <w:lvlJc w:val="left"/>
      <w:pPr>
        <w:ind w:left="5040" w:hanging="360"/>
      </w:pPr>
      <w:rPr>
        <w:rFonts w:ascii="Wingdings" w:hAnsi="Wingdings" w:hint="default"/>
      </w:rPr>
    </w:lvl>
    <w:lvl w:ilvl="2" w:tentative="1">
      <w:start w:val="1"/>
      <w:numFmt w:val="bullet"/>
      <w:lvlText w:val=""/>
      <w:lvlJc w:val="left"/>
      <w:pPr>
        <w:ind w:left="5760" w:hanging="360"/>
      </w:pPr>
      <w:rPr>
        <w:rFonts w:ascii="Symbol" w:hAnsi="Symbol" w:hint="default"/>
      </w:rPr>
    </w:lvl>
    <w:lvl w:ilvl="3" w:tentative="1">
      <w:start w:val="1"/>
      <w:numFmt w:val="bullet"/>
      <w:lvlText w:val="o"/>
      <w:lvlJc w:val="left"/>
      <w:pPr>
        <w:ind w:left="6480" w:hanging="360"/>
      </w:pPr>
      <w:rPr>
        <w:rFonts w:ascii="Courier New" w:hAnsi="Courier New" w:cs="Courier New" w:hint="default"/>
      </w:rPr>
    </w:lvl>
    <w:lvl w:ilvl="4" w:tentative="1">
      <w:start w:val="1"/>
      <w:numFmt w:val="bullet"/>
      <w:lvlText w:val=""/>
      <w:lvlJc w:val="left"/>
      <w:pPr>
        <w:ind w:left="7200" w:hanging="360"/>
      </w:pPr>
      <w:rPr>
        <w:rFonts w:ascii="Wingdings" w:hAnsi="Wingdings"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183521"/>
    <w:multiLevelType w:val="multilevel"/>
    <w:tmpl w:val="D848E608"/>
    <w:styleLink w:val="IPAustraliaNumbers"/>
    <w:lvl w:ilvl="0">
      <w:numFmt w:val="decimal"/>
      <w:pStyle w:val="ListNumber"/>
      <w:lvlText w:val=""/>
      <w:lvlJc w:val="left"/>
    </w:lvl>
    <w:lvl w:ilvl="1">
      <w:numFmt w:val="decimal"/>
      <w:pStyle w:val="ListNumber2"/>
      <w:lvlText w:val=""/>
      <w:lvlJc w:val="left"/>
    </w:lvl>
    <w:lvl w:ilvl="2">
      <w:numFmt w:val="decimal"/>
      <w:pStyle w:val="ListNumber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E06FF1"/>
    <w:multiLevelType w:val="multilevel"/>
    <w:tmpl w:val="21D65DF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MS Mincho"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B41CD"/>
    <w:multiLevelType w:val="multilevel"/>
    <w:tmpl w:val="D848E608"/>
    <w:numStyleLink w:val="IPAustraliaNumbers"/>
  </w:abstractNum>
  <w:abstractNum w:abstractNumId="16" w15:restartNumberingAfterBreak="0">
    <w:nsid w:val="20BB6B87"/>
    <w:multiLevelType w:val="multilevel"/>
    <w:tmpl w:val="2F4286B0"/>
    <w:name w:val="Number_Edge3"/>
    <w:numStyleLink w:val="NumberEdge"/>
  </w:abstractNum>
  <w:abstractNum w:abstractNumId="17" w15:restartNumberingAfterBreak="0">
    <w:nsid w:val="238E346F"/>
    <w:multiLevelType w:val="hybridMultilevel"/>
    <w:tmpl w:val="64464CBC"/>
    <w:lvl w:ilvl="0" w:tplc="73700134">
      <w:start w:val="1"/>
      <w:numFmt w:val="lowerRoman"/>
      <w:lvlText w:val="(%1)"/>
      <w:lvlJc w:val="left"/>
      <w:pPr>
        <w:ind w:left="1080" w:hanging="720"/>
      </w:pPr>
      <w:rPr>
        <w:rFonts w:cs="Calibri"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3F35BED"/>
    <w:multiLevelType w:val="multilevel"/>
    <w:tmpl w:val="25F233CC"/>
    <w:name w:val="Section Header2"/>
    <w:styleLink w:val="ListHeader"/>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7C0271A"/>
    <w:multiLevelType w:val="multilevel"/>
    <w:tmpl w:val="199CFA46"/>
    <w:styleLink w:val="TaylorAnnexure"/>
    <w:lvl w:ilvl="0">
      <w:numFmt w:val="none"/>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8810CAE"/>
    <w:multiLevelType w:val="multilevel"/>
    <w:tmpl w:val="3FC49006"/>
    <w:styleLink w:val="NumberLiberty"/>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CC25A1B"/>
    <w:multiLevelType w:val="multilevel"/>
    <w:tmpl w:val="2F4286B0"/>
    <w:name w:val="Number_Edge5"/>
    <w:numStyleLink w:val="NumberEdge"/>
  </w:abstractNum>
  <w:abstractNum w:abstractNumId="22" w15:restartNumberingAfterBreak="0">
    <w:nsid w:val="2F173A01"/>
    <w:multiLevelType w:val="hybridMultilevel"/>
    <w:tmpl w:val="5D444ED6"/>
    <w:lvl w:ilvl="0" w:tplc="C9DA33C0">
      <w:start w:val="1"/>
      <w:numFmt w:val="decimal"/>
      <w:lvlText w:val="%1."/>
      <w:lvlJc w:val="left"/>
      <w:pPr>
        <w:ind w:left="720" w:hanging="360"/>
      </w:pPr>
      <w:rPr>
        <w:i/>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108367F"/>
    <w:multiLevelType w:val="multilevel"/>
    <w:tmpl w:val="C24E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927CE9"/>
    <w:multiLevelType w:val="multilevel"/>
    <w:tmpl w:val="6F2A360C"/>
    <w:styleLink w:val="HeadingLi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7C3726F"/>
    <w:multiLevelType w:val="multilevel"/>
    <w:tmpl w:val="BF300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985EB4"/>
    <w:multiLevelType w:val="hybridMultilevel"/>
    <w:tmpl w:val="C664A4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B636921"/>
    <w:multiLevelType w:val="hybridMultilevel"/>
    <w:tmpl w:val="345069A0"/>
    <w:lvl w:ilvl="0" w:tplc="01ACA0A4">
      <w:numFmt w:val="decimal"/>
      <w:pStyle w:val="SectionHeader"/>
      <w:lvlText w:val=""/>
      <w:lvlJc w:val="left"/>
    </w:lvl>
    <w:lvl w:ilvl="1" w:tplc="3AB0E0A8">
      <w:numFmt w:val="decimal"/>
      <w:lvlText w:val=""/>
      <w:lvlJc w:val="left"/>
    </w:lvl>
    <w:lvl w:ilvl="2" w:tplc="3928435E">
      <w:numFmt w:val="decimal"/>
      <w:lvlText w:val=""/>
      <w:lvlJc w:val="left"/>
    </w:lvl>
    <w:lvl w:ilvl="3" w:tplc="F848AB60">
      <w:numFmt w:val="decimal"/>
      <w:lvlText w:val=""/>
      <w:lvlJc w:val="left"/>
    </w:lvl>
    <w:lvl w:ilvl="4" w:tplc="13AE36A2">
      <w:numFmt w:val="decimal"/>
      <w:lvlText w:val=""/>
      <w:lvlJc w:val="left"/>
    </w:lvl>
    <w:lvl w:ilvl="5" w:tplc="66B8F9B6">
      <w:numFmt w:val="decimal"/>
      <w:lvlText w:val=""/>
      <w:lvlJc w:val="left"/>
    </w:lvl>
    <w:lvl w:ilvl="6" w:tplc="47C48F3C">
      <w:numFmt w:val="decimal"/>
      <w:lvlText w:val=""/>
      <w:lvlJc w:val="left"/>
    </w:lvl>
    <w:lvl w:ilvl="7" w:tplc="5F00E30E">
      <w:numFmt w:val="decimal"/>
      <w:lvlText w:val=""/>
      <w:lvlJc w:val="left"/>
    </w:lvl>
    <w:lvl w:ilvl="8" w:tplc="2012D50C">
      <w:numFmt w:val="decimal"/>
      <w:lvlText w:val=""/>
      <w:lvlJc w:val="left"/>
    </w:lvl>
  </w:abstractNum>
  <w:abstractNum w:abstractNumId="28" w15:restartNumberingAfterBreak="0">
    <w:nsid w:val="54992E4A"/>
    <w:multiLevelType w:val="multilevel"/>
    <w:tmpl w:val="0C090023"/>
    <w:styleLink w:val="ArticleSection"/>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9B38C0"/>
    <w:multiLevelType w:val="multilevel"/>
    <w:tmpl w:val="27D467F2"/>
    <w:styleLink w:val="1ai"/>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B47C4D"/>
    <w:multiLevelType w:val="hybridMultilevel"/>
    <w:tmpl w:val="A23EB93E"/>
    <w:lvl w:ilvl="0" w:tplc="135AEA12">
      <w:numFmt w:val="decimal"/>
      <w:pStyle w:val="ListNumberBold"/>
      <w:lvlText w:val=""/>
      <w:lvlJc w:val="left"/>
    </w:lvl>
    <w:lvl w:ilvl="1" w:tplc="3BEE9714">
      <w:numFmt w:val="decimal"/>
      <w:lvlText w:val=""/>
      <w:lvlJc w:val="left"/>
    </w:lvl>
    <w:lvl w:ilvl="2" w:tplc="7B98F464">
      <w:numFmt w:val="decimal"/>
      <w:lvlText w:val=""/>
      <w:lvlJc w:val="left"/>
    </w:lvl>
    <w:lvl w:ilvl="3" w:tplc="62E2CC9E">
      <w:numFmt w:val="decimal"/>
      <w:lvlText w:val=""/>
      <w:lvlJc w:val="left"/>
    </w:lvl>
    <w:lvl w:ilvl="4" w:tplc="4176C194">
      <w:numFmt w:val="decimal"/>
      <w:lvlText w:val=""/>
      <w:lvlJc w:val="left"/>
    </w:lvl>
    <w:lvl w:ilvl="5" w:tplc="DF1A79C4">
      <w:numFmt w:val="decimal"/>
      <w:lvlText w:val=""/>
      <w:lvlJc w:val="left"/>
    </w:lvl>
    <w:lvl w:ilvl="6" w:tplc="D5804808">
      <w:numFmt w:val="decimal"/>
      <w:lvlText w:val=""/>
      <w:lvlJc w:val="left"/>
    </w:lvl>
    <w:lvl w:ilvl="7" w:tplc="DBB65CF6">
      <w:numFmt w:val="decimal"/>
      <w:lvlText w:val=""/>
      <w:lvlJc w:val="left"/>
    </w:lvl>
    <w:lvl w:ilvl="8" w:tplc="AA2E24C6">
      <w:numFmt w:val="decimal"/>
      <w:lvlText w:val=""/>
      <w:lvlJc w:val="left"/>
    </w:lvl>
  </w:abstractNum>
  <w:abstractNum w:abstractNumId="31" w15:restartNumberingAfterBreak="0">
    <w:nsid w:val="66884BCA"/>
    <w:multiLevelType w:val="hybridMultilevel"/>
    <w:tmpl w:val="97063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E55526"/>
    <w:multiLevelType w:val="hybridMultilevel"/>
    <w:tmpl w:val="5D444ED6"/>
    <w:lvl w:ilvl="0" w:tplc="FFFFFFFF">
      <w:start w:val="1"/>
      <w:numFmt w:val="decimal"/>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A35BF3"/>
    <w:multiLevelType w:val="hybridMultilevel"/>
    <w:tmpl w:val="8940E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CA698D"/>
    <w:multiLevelType w:val="multilevel"/>
    <w:tmpl w:val="0C09001F"/>
    <w:styleLink w:val="1111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F03794"/>
    <w:multiLevelType w:val="multilevel"/>
    <w:tmpl w:val="2F4286B0"/>
    <w:name w:val="Number_Edge"/>
    <w:numStyleLink w:val="NumberEdge"/>
  </w:abstractNum>
  <w:abstractNum w:abstractNumId="36" w15:restartNumberingAfterBreak="0">
    <w:nsid w:val="7A07439F"/>
    <w:multiLevelType w:val="multilevel"/>
    <w:tmpl w:val="2D4E749A"/>
    <w:styleLink w:val="ListEdg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9862663">
    <w:abstractNumId w:val="29"/>
  </w:num>
  <w:num w:numId="2" w16cid:durableId="1505972614">
    <w:abstractNumId w:val="34"/>
  </w:num>
  <w:num w:numId="3" w16cid:durableId="2123762598">
    <w:abstractNumId w:val="28"/>
  </w:num>
  <w:num w:numId="4" w16cid:durableId="1065421411">
    <w:abstractNumId w:val="24"/>
  </w:num>
  <w:num w:numId="5" w16cid:durableId="1685202209">
    <w:abstractNumId w:val="6"/>
  </w:num>
  <w:num w:numId="6" w16cid:durableId="174005487">
    <w:abstractNumId w:val="3"/>
  </w:num>
  <w:num w:numId="7" w16cid:durableId="2033531932">
    <w:abstractNumId w:val="11"/>
  </w:num>
  <w:num w:numId="8" w16cid:durableId="1503468774">
    <w:abstractNumId w:val="18"/>
  </w:num>
  <w:num w:numId="9" w16cid:durableId="1821269758">
    <w:abstractNumId w:val="27"/>
  </w:num>
  <w:num w:numId="10" w16cid:durableId="3559398">
    <w:abstractNumId w:val="30"/>
  </w:num>
  <w:num w:numId="11" w16cid:durableId="1826311605">
    <w:abstractNumId w:val="2"/>
  </w:num>
  <w:num w:numId="12" w16cid:durableId="1180661180">
    <w:abstractNumId w:val="4"/>
  </w:num>
  <w:num w:numId="13" w16cid:durableId="180749263">
    <w:abstractNumId w:val="36"/>
  </w:num>
  <w:num w:numId="14" w16cid:durableId="2075347529">
    <w:abstractNumId w:val="20"/>
  </w:num>
  <w:num w:numId="15" w16cid:durableId="138502213">
    <w:abstractNumId w:val="9"/>
  </w:num>
  <w:num w:numId="16" w16cid:durableId="9835788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6263720">
    <w:abstractNumId w:val="13"/>
  </w:num>
  <w:num w:numId="18" w16cid:durableId="2138180725">
    <w:abstractNumId w:val="19"/>
  </w:num>
  <w:num w:numId="19" w16cid:durableId="56517218">
    <w:abstractNumId w:val="15"/>
  </w:num>
  <w:num w:numId="20" w16cid:durableId="1070083823">
    <w:abstractNumId w:val="7"/>
    <w:lvlOverride w:ilvl="0">
      <w:lvl w:ilvl="0">
        <w:start w:val="1"/>
        <w:numFmt w:val="decimal"/>
        <w:pStyle w:val="DividerHeading"/>
        <w:suff w:val="space"/>
        <w:lvlText w:val="%1."/>
        <w:lvlJc w:val="left"/>
        <w:pPr>
          <w:ind w:left="360" w:hanging="360"/>
        </w:pPr>
        <w:rPr>
          <w:rFonts w:hint="default"/>
        </w:rPr>
      </w:lvl>
    </w:lvlOverride>
  </w:num>
  <w:num w:numId="21" w16cid:durableId="456145084">
    <w:abstractNumId w:val="17"/>
  </w:num>
  <w:num w:numId="22" w16cid:durableId="1559634437">
    <w:abstractNumId w:val="26"/>
  </w:num>
  <w:num w:numId="23" w16cid:durableId="1719935756">
    <w:abstractNumId w:val="25"/>
  </w:num>
  <w:num w:numId="24" w16cid:durableId="1836845250">
    <w:abstractNumId w:val="22"/>
  </w:num>
  <w:num w:numId="25" w16cid:durableId="1750343921">
    <w:abstractNumId w:val="31"/>
  </w:num>
  <w:num w:numId="26" w16cid:durableId="1273168114">
    <w:abstractNumId w:val="33"/>
  </w:num>
  <w:num w:numId="27" w16cid:durableId="173350629">
    <w:abstractNumId w:val="23"/>
  </w:num>
  <w:num w:numId="28" w16cid:durableId="397946316">
    <w:abstractNumId w:val="14"/>
  </w:num>
  <w:num w:numId="29" w16cid:durableId="1169907940">
    <w:abstractNumId w:val="1"/>
  </w:num>
  <w:num w:numId="30" w16cid:durableId="1274240264">
    <w:abstractNumId w:val="32"/>
  </w:num>
  <w:num w:numId="31" w16cid:durableId="1817913583">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CxNDQ2M7e0NDSzsDRV0lEKTi0uzszPAykwrgUAGtNt8SwAAAA="/>
    <w:docVar w:name="secNum" w:val="0"/>
  </w:docVars>
  <w:rsids>
    <w:rsidRoot w:val="005E5FEB"/>
    <w:rsid w:val="00000755"/>
    <w:rsid w:val="00000C66"/>
    <w:rsid w:val="000018C2"/>
    <w:rsid w:val="000019D1"/>
    <w:rsid w:val="00001B25"/>
    <w:rsid w:val="00002117"/>
    <w:rsid w:val="00002367"/>
    <w:rsid w:val="00002763"/>
    <w:rsid w:val="000030ED"/>
    <w:rsid w:val="00003133"/>
    <w:rsid w:val="0000403C"/>
    <w:rsid w:val="00004448"/>
    <w:rsid w:val="000044A0"/>
    <w:rsid w:val="00004625"/>
    <w:rsid w:val="0000484E"/>
    <w:rsid w:val="000049DF"/>
    <w:rsid w:val="00004CCC"/>
    <w:rsid w:val="0000566C"/>
    <w:rsid w:val="00005C45"/>
    <w:rsid w:val="00005F3D"/>
    <w:rsid w:val="0000619C"/>
    <w:rsid w:val="000065D5"/>
    <w:rsid w:val="00006EE3"/>
    <w:rsid w:val="000072AE"/>
    <w:rsid w:val="000074B9"/>
    <w:rsid w:val="00007D3C"/>
    <w:rsid w:val="000104A5"/>
    <w:rsid w:val="00010901"/>
    <w:rsid w:val="0001127E"/>
    <w:rsid w:val="0001130B"/>
    <w:rsid w:val="000114B2"/>
    <w:rsid w:val="00011703"/>
    <w:rsid w:val="000118FF"/>
    <w:rsid w:val="0001250D"/>
    <w:rsid w:val="00012F0A"/>
    <w:rsid w:val="000131E2"/>
    <w:rsid w:val="0001331B"/>
    <w:rsid w:val="0001345C"/>
    <w:rsid w:val="000135B8"/>
    <w:rsid w:val="0001374E"/>
    <w:rsid w:val="00013829"/>
    <w:rsid w:val="00013C5C"/>
    <w:rsid w:val="0001417E"/>
    <w:rsid w:val="00014363"/>
    <w:rsid w:val="000144FC"/>
    <w:rsid w:val="0001475A"/>
    <w:rsid w:val="000147DD"/>
    <w:rsid w:val="00015473"/>
    <w:rsid w:val="0001562F"/>
    <w:rsid w:val="000156B3"/>
    <w:rsid w:val="000158C2"/>
    <w:rsid w:val="00015A16"/>
    <w:rsid w:val="00015B19"/>
    <w:rsid w:val="00015C2F"/>
    <w:rsid w:val="000161E4"/>
    <w:rsid w:val="00016215"/>
    <w:rsid w:val="00016272"/>
    <w:rsid w:val="00016503"/>
    <w:rsid w:val="000166AA"/>
    <w:rsid w:val="00016BC3"/>
    <w:rsid w:val="00016BC7"/>
    <w:rsid w:val="0001700B"/>
    <w:rsid w:val="000170A2"/>
    <w:rsid w:val="00017171"/>
    <w:rsid w:val="000176C1"/>
    <w:rsid w:val="00017AA1"/>
    <w:rsid w:val="00017C90"/>
    <w:rsid w:val="00017CCA"/>
    <w:rsid w:val="00017F58"/>
    <w:rsid w:val="000208F2"/>
    <w:rsid w:val="00020FCE"/>
    <w:rsid w:val="00021222"/>
    <w:rsid w:val="00021A35"/>
    <w:rsid w:val="00021B44"/>
    <w:rsid w:val="00021F30"/>
    <w:rsid w:val="0002238B"/>
    <w:rsid w:val="000225F7"/>
    <w:rsid w:val="00022AA7"/>
    <w:rsid w:val="00022AC5"/>
    <w:rsid w:val="00023287"/>
    <w:rsid w:val="0002352A"/>
    <w:rsid w:val="000235A2"/>
    <w:rsid w:val="0002362E"/>
    <w:rsid w:val="00023ADA"/>
    <w:rsid w:val="00023B83"/>
    <w:rsid w:val="00023D25"/>
    <w:rsid w:val="00023D91"/>
    <w:rsid w:val="0002415B"/>
    <w:rsid w:val="000243C2"/>
    <w:rsid w:val="000243CE"/>
    <w:rsid w:val="000243EA"/>
    <w:rsid w:val="0002447A"/>
    <w:rsid w:val="00024614"/>
    <w:rsid w:val="000247BC"/>
    <w:rsid w:val="00024ABE"/>
    <w:rsid w:val="00024B5E"/>
    <w:rsid w:val="00024F69"/>
    <w:rsid w:val="0002551A"/>
    <w:rsid w:val="000257D7"/>
    <w:rsid w:val="00025EDE"/>
    <w:rsid w:val="000264E4"/>
    <w:rsid w:val="000265A0"/>
    <w:rsid w:val="000267E8"/>
    <w:rsid w:val="00027A68"/>
    <w:rsid w:val="00027C91"/>
    <w:rsid w:val="00027DF5"/>
    <w:rsid w:val="00030161"/>
    <w:rsid w:val="000301D7"/>
    <w:rsid w:val="000304C1"/>
    <w:rsid w:val="000305C1"/>
    <w:rsid w:val="00030AB4"/>
    <w:rsid w:val="00030D6D"/>
    <w:rsid w:val="0003104C"/>
    <w:rsid w:val="000311E4"/>
    <w:rsid w:val="00031653"/>
    <w:rsid w:val="00031A58"/>
    <w:rsid w:val="000321F0"/>
    <w:rsid w:val="000332D0"/>
    <w:rsid w:val="00033852"/>
    <w:rsid w:val="00033D7E"/>
    <w:rsid w:val="00033F7A"/>
    <w:rsid w:val="00034055"/>
    <w:rsid w:val="0003443F"/>
    <w:rsid w:val="00034B38"/>
    <w:rsid w:val="000354A8"/>
    <w:rsid w:val="000364AB"/>
    <w:rsid w:val="000371CC"/>
    <w:rsid w:val="00037508"/>
    <w:rsid w:val="00037A08"/>
    <w:rsid w:val="00040174"/>
    <w:rsid w:val="00040C5C"/>
    <w:rsid w:val="00040D12"/>
    <w:rsid w:val="00040EEE"/>
    <w:rsid w:val="00041D74"/>
    <w:rsid w:val="00042093"/>
    <w:rsid w:val="000421B0"/>
    <w:rsid w:val="000422B6"/>
    <w:rsid w:val="00042533"/>
    <w:rsid w:val="000429F8"/>
    <w:rsid w:val="00042A96"/>
    <w:rsid w:val="00043005"/>
    <w:rsid w:val="000437D5"/>
    <w:rsid w:val="00043A74"/>
    <w:rsid w:val="00043CCE"/>
    <w:rsid w:val="00043E70"/>
    <w:rsid w:val="0004407F"/>
    <w:rsid w:val="000442D7"/>
    <w:rsid w:val="000445A9"/>
    <w:rsid w:val="00044C9C"/>
    <w:rsid w:val="000453AB"/>
    <w:rsid w:val="0004592A"/>
    <w:rsid w:val="00045D38"/>
    <w:rsid w:val="00045E36"/>
    <w:rsid w:val="00045F68"/>
    <w:rsid w:val="00046160"/>
    <w:rsid w:val="000466D7"/>
    <w:rsid w:val="0004679E"/>
    <w:rsid w:val="0004692D"/>
    <w:rsid w:val="000472B5"/>
    <w:rsid w:val="00047828"/>
    <w:rsid w:val="000502F3"/>
    <w:rsid w:val="000509D7"/>
    <w:rsid w:val="00050E0D"/>
    <w:rsid w:val="00050EC9"/>
    <w:rsid w:val="000510F6"/>
    <w:rsid w:val="00051644"/>
    <w:rsid w:val="00051759"/>
    <w:rsid w:val="00051E47"/>
    <w:rsid w:val="00051EC0"/>
    <w:rsid w:val="00051FF5"/>
    <w:rsid w:val="00052793"/>
    <w:rsid w:val="0005279A"/>
    <w:rsid w:val="00052D44"/>
    <w:rsid w:val="0005363A"/>
    <w:rsid w:val="0005391D"/>
    <w:rsid w:val="00053D36"/>
    <w:rsid w:val="00054831"/>
    <w:rsid w:val="00054936"/>
    <w:rsid w:val="00054A3F"/>
    <w:rsid w:val="00054BF5"/>
    <w:rsid w:val="00054E1A"/>
    <w:rsid w:val="00054E2D"/>
    <w:rsid w:val="000551ED"/>
    <w:rsid w:val="00055900"/>
    <w:rsid w:val="0005601F"/>
    <w:rsid w:val="0005615A"/>
    <w:rsid w:val="00056F3D"/>
    <w:rsid w:val="00057154"/>
    <w:rsid w:val="00057297"/>
    <w:rsid w:val="000572F8"/>
    <w:rsid w:val="000573D1"/>
    <w:rsid w:val="0005777F"/>
    <w:rsid w:val="0005786E"/>
    <w:rsid w:val="00057A69"/>
    <w:rsid w:val="00057BA8"/>
    <w:rsid w:val="00057EB8"/>
    <w:rsid w:val="00057FCB"/>
    <w:rsid w:val="0006026E"/>
    <w:rsid w:val="000607E4"/>
    <w:rsid w:val="000608CF"/>
    <w:rsid w:val="0006140A"/>
    <w:rsid w:val="0006148F"/>
    <w:rsid w:val="00061600"/>
    <w:rsid w:val="000621D0"/>
    <w:rsid w:val="000634D3"/>
    <w:rsid w:val="0006367C"/>
    <w:rsid w:val="0006379F"/>
    <w:rsid w:val="00063DCB"/>
    <w:rsid w:val="000644CC"/>
    <w:rsid w:val="00064ABD"/>
    <w:rsid w:val="00064D3F"/>
    <w:rsid w:val="00064F9D"/>
    <w:rsid w:val="0006518E"/>
    <w:rsid w:val="000651AD"/>
    <w:rsid w:val="0006534D"/>
    <w:rsid w:val="000654E4"/>
    <w:rsid w:val="000656F0"/>
    <w:rsid w:val="00065D58"/>
    <w:rsid w:val="00065EE0"/>
    <w:rsid w:val="00066918"/>
    <w:rsid w:val="00066BFE"/>
    <w:rsid w:val="000679E3"/>
    <w:rsid w:val="00067C94"/>
    <w:rsid w:val="00070271"/>
    <w:rsid w:val="000702F7"/>
    <w:rsid w:val="000707BE"/>
    <w:rsid w:val="00070F90"/>
    <w:rsid w:val="000725BB"/>
    <w:rsid w:val="00072644"/>
    <w:rsid w:val="0007266D"/>
    <w:rsid w:val="0007275B"/>
    <w:rsid w:val="000727B3"/>
    <w:rsid w:val="00072CBE"/>
    <w:rsid w:val="00073156"/>
    <w:rsid w:val="00073358"/>
    <w:rsid w:val="00073B39"/>
    <w:rsid w:val="000744FE"/>
    <w:rsid w:val="00074500"/>
    <w:rsid w:val="0007464F"/>
    <w:rsid w:val="00074898"/>
    <w:rsid w:val="00074BAD"/>
    <w:rsid w:val="00075A2E"/>
    <w:rsid w:val="00075CEE"/>
    <w:rsid w:val="00075DB3"/>
    <w:rsid w:val="0007607E"/>
    <w:rsid w:val="000760B5"/>
    <w:rsid w:val="00076E0F"/>
    <w:rsid w:val="00077278"/>
    <w:rsid w:val="00077A79"/>
    <w:rsid w:val="00077D7B"/>
    <w:rsid w:val="00077D80"/>
    <w:rsid w:val="000804B3"/>
    <w:rsid w:val="00080503"/>
    <w:rsid w:val="0008065A"/>
    <w:rsid w:val="00080798"/>
    <w:rsid w:val="00080D3D"/>
    <w:rsid w:val="00080D59"/>
    <w:rsid w:val="00080F3A"/>
    <w:rsid w:val="0008109B"/>
    <w:rsid w:val="0008116E"/>
    <w:rsid w:val="00081641"/>
    <w:rsid w:val="00081DE6"/>
    <w:rsid w:val="00082219"/>
    <w:rsid w:val="0008238E"/>
    <w:rsid w:val="0008281A"/>
    <w:rsid w:val="0008287E"/>
    <w:rsid w:val="00082C40"/>
    <w:rsid w:val="00082E12"/>
    <w:rsid w:val="00083244"/>
    <w:rsid w:val="00083576"/>
    <w:rsid w:val="00083711"/>
    <w:rsid w:val="00083D4C"/>
    <w:rsid w:val="00084380"/>
    <w:rsid w:val="000843A3"/>
    <w:rsid w:val="00084770"/>
    <w:rsid w:val="00084A53"/>
    <w:rsid w:val="00085A68"/>
    <w:rsid w:val="0008617C"/>
    <w:rsid w:val="000861E2"/>
    <w:rsid w:val="00086CEC"/>
    <w:rsid w:val="00086DFF"/>
    <w:rsid w:val="0008701C"/>
    <w:rsid w:val="000876C8"/>
    <w:rsid w:val="00087DB6"/>
    <w:rsid w:val="00087E41"/>
    <w:rsid w:val="00087FA3"/>
    <w:rsid w:val="000900A5"/>
    <w:rsid w:val="000907F8"/>
    <w:rsid w:val="000908AA"/>
    <w:rsid w:val="000909C6"/>
    <w:rsid w:val="00090DEC"/>
    <w:rsid w:val="00090E19"/>
    <w:rsid w:val="0009101A"/>
    <w:rsid w:val="00091156"/>
    <w:rsid w:val="0009116E"/>
    <w:rsid w:val="000911E7"/>
    <w:rsid w:val="00091432"/>
    <w:rsid w:val="00091C84"/>
    <w:rsid w:val="00092133"/>
    <w:rsid w:val="00092172"/>
    <w:rsid w:val="0009263C"/>
    <w:rsid w:val="0009266E"/>
    <w:rsid w:val="00092E1D"/>
    <w:rsid w:val="00092E82"/>
    <w:rsid w:val="00092EF6"/>
    <w:rsid w:val="00093056"/>
    <w:rsid w:val="0009326C"/>
    <w:rsid w:val="00093A33"/>
    <w:rsid w:val="00093A5C"/>
    <w:rsid w:val="00093B87"/>
    <w:rsid w:val="00093E67"/>
    <w:rsid w:val="00094132"/>
    <w:rsid w:val="0009430E"/>
    <w:rsid w:val="0009472D"/>
    <w:rsid w:val="00094744"/>
    <w:rsid w:val="00094A59"/>
    <w:rsid w:val="00095F61"/>
    <w:rsid w:val="0009622D"/>
    <w:rsid w:val="00096929"/>
    <w:rsid w:val="0009695F"/>
    <w:rsid w:val="00096987"/>
    <w:rsid w:val="0009725A"/>
    <w:rsid w:val="00097292"/>
    <w:rsid w:val="000974DC"/>
    <w:rsid w:val="000975C1"/>
    <w:rsid w:val="00097686"/>
    <w:rsid w:val="00097991"/>
    <w:rsid w:val="00097998"/>
    <w:rsid w:val="00097A76"/>
    <w:rsid w:val="000A0170"/>
    <w:rsid w:val="000A0302"/>
    <w:rsid w:val="000A07C7"/>
    <w:rsid w:val="000A084C"/>
    <w:rsid w:val="000A189B"/>
    <w:rsid w:val="000A1C34"/>
    <w:rsid w:val="000A1FA8"/>
    <w:rsid w:val="000A2193"/>
    <w:rsid w:val="000A2214"/>
    <w:rsid w:val="000A2614"/>
    <w:rsid w:val="000A3148"/>
    <w:rsid w:val="000A31BB"/>
    <w:rsid w:val="000A3608"/>
    <w:rsid w:val="000A3715"/>
    <w:rsid w:val="000A3933"/>
    <w:rsid w:val="000A3F4D"/>
    <w:rsid w:val="000A42DC"/>
    <w:rsid w:val="000A505C"/>
    <w:rsid w:val="000A57F6"/>
    <w:rsid w:val="000A5AFC"/>
    <w:rsid w:val="000A5B4F"/>
    <w:rsid w:val="000A5C8F"/>
    <w:rsid w:val="000A5D32"/>
    <w:rsid w:val="000A5EAB"/>
    <w:rsid w:val="000A605B"/>
    <w:rsid w:val="000A6642"/>
    <w:rsid w:val="000A69F9"/>
    <w:rsid w:val="000A6A45"/>
    <w:rsid w:val="000A6C41"/>
    <w:rsid w:val="000A6FC6"/>
    <w:rsid w:val="000A7303"/>
    <w:rsid w:val="000A784C"/>
    <w:rsid w:val="000A7A68"/>
    <w:rsid w:val="000A7DAC"/>
    <w:rsid w:val="000A7F0E"/>
    <w:rsid w:val="000B0349"/>
    <w:rsid w:val="000B067E"/>
    <w:rsid w:val="000B0804"/>
    <w:rsid w:val="000B13D7"/>
    <w:rsid w:val="000B1AAF"/>
    <w:rsid w:val="000B1ACD"/>
    <w:rsid w:val="000B1B60"/>
    <w:rsid w:val="000B1FE4"/>
    <w:rsid w:val="000B260E"/>
    <w:rsid w:val="000B2DF3"/>
    <w:rsid w:val="000B317B"/>
    <w:rsid w:val="000B34BB"/>
    <w:rsid w:val="000B385D"/>
    <w:rsid w:val="000B394A"/>
    <w:rsid w:val="000B3953"/>
    <w:rsid w:val="000B3C38"/>
    <w:rsid w:val="000B40C1"/>
    <w:rsid w:val="000B4468"/>
    <w:rsid w:val="000B4485"/>
    <w:rsid w:val="000B45E6"/>
    <w:rsid w:val="000B4734"/>
    <w:rsid w:val="000B4DDE"/>
    <w:rsid w:val="000B5181"/>
    <w:rsid w:val="000B5637"/>
    <w:rsid w:val="000B5765"/>
    <w:rsid w:val="000B5BB1"/>
    <w:rsid w:val="000B5E06"/>
    <w:rsid w:val="000B6134"/>
    <w:rsid w:val="000B6358"/>
    <w:rsid w:val="000B65EA"/>
    <w:rsid w:val="000B69D2"/>
    <w:rsid w:val="000B6C6B"/>
    <w:rsid w:val="000B7BAD"/>
    <w:rsid w:val="000B7D42"/>
    <w:rsid w:val="000B7DAA"/>
    <w:rsid w:val="000B7E53"/>
    <w:rsid w:val="000C01F4"/>
    <w:rsid w:val="000C02A6"/>
    <w:rsid w:val="000C0358"/>
    <w:rsid w:val="000C08E7"/>
    <w:rsid w:val="000C0CDA"/>
    <w:rsid w:val="000C11D1"/>
    <w:rsid w:val="000C1714"/>
    <w:rsid w:val="000C174F"/>
    <w:rsid w:val="000C1A6A"/>
    <w:rsid w:val="000C1D53"/>
    <w:rsid w:val="000C217C"/>
    <w:rsid w:val="000C28A9"/>
    <w:rsid w:val="000C29C6"/>
    <w:rsid w:val="000C2ACB"/>
    <w:rsid w:val="000C2AF4"/>
    <w:rsid w:val="000C2D84"/>
    <w:rsid w:val="000C3139"/>
    <w:rsid w:val="000C36CF"/>
    <w:rsid w:val="000C3A56"/>
    <w:rsid w:val="000C3B6F"/>
    <w:rsid w:val="000C411B"/>
    <w:rsid w:val="000C41A8"/>
    <w:rsid w:val="000C43A2"/>
    <w:rsid w:val="000C43D8"/>
    <w:rsid w:val="000C4465"/>
    <w:rsid w:val="000C4470"/>
    <w:rsid w:val="000C4892"/>
    <w:rsid w:val="000C4D6B"/>
    <w:rsid w:val="000C4DD0"/>
    <w:rsid w:val="000C51B9"/>
    <w:rsid w:val="000C52A3"/>
    <w:rsid w:val="000C5496"/>
    <w:rsid w:val="000C5818"/>
    <w:rsid w:val="000C59BF"/>
    <w:rsid w:val="000C5C84"/>
    <w:rsid w:val="000C5E22"/>
    <w:rsid w:val="000C6730"/>
    <w:rsid w:val="000C6CE9"/>
    <w:rsid w:val="000C6D18"/>
    <w:rsid w:val="000C6D9B"/>
    <w:rsid w:val="000C6FA4"/>
    <w:rsid w:val="000C7330"/>
    <w:rsid w:val="000C7974"/>
    <w:rsid w:val="000C7B7E"/>
    <w:rsid w:val="000C7B87"/>
    <w:rsid w:val="000C7E44"/>
    <w:rsid w:val="000C7FC3"/>
    <w:rsid w:val="000D0030"/>
    <w:rsid w:val="000D081E"/>
    <w:rsid w:val="000D0FBB"/>
    <w:rsid w:val="000D172B"/>
    <w:rsid w:val="000D20DE"/>
    <w:rsid w:val="000D210A"/>
    <w:rsid w:val="000D235C"/>
    <w:rsid w:val="000D27AC"/>
    <w:rsid w:val="000D2A56"/>
    <w:rsid w:val="000D2B7C"/>
    <w:rsid w:val="000D2D2A"/>
    <w:rsid w:val="000D2D7A"/>
    <w:rsid w:val="000D2F1A"/>
    <w:rsid w:val="000D31A0"/>
    <w:rsid w:val="000D363C"/>
    <w:rsid w:val="000D37C8"/>
    <w:rsid w:val="000D3903"/>
    <w:rsid w:val="000D3AB7"/>
    <w:rsid w:val="000D3ED4"/>
    <w:rsid w:val="000D40C7"/>
    <w:rsid w:val="000D40DB"/>
    <w:rsid w:val="000D414A"/>
    <w:rsid w:val="000D43AF"/>
    <w:rsid w:val="000D4473"/>
    <w:rsid w:val="000D4CCF"/>
    <w:rsid w:val="000D5294"/>
    <w:rsid w:val="000D5608"/>
    <w:rsid w:val="000D646E"/>
    <w:rsid w:val="000D6626"/>
    <w:rsid w:val="000D6F85"/>
    <w:rsid w:val="000D6FCF"/>
    <w:rsid w:val="000D73BD"/>
    <w:rsid w:val="000D7785"/>
    <w:rsid w:val="000D77A1"/>
    <w:rsid w:val="000E03EB"/>
    <w:rsid w:val="000E0E77"/>
    <w:rsid w:val="000E120E"/>
    <w:rsid w:val="000E150A"/>
    <w:rsid w:val="000E17AA"/>
    <w:rsid w:val="000E17EC"/>
    <w:rsid w:val="000E18E1"/>
    <w:rsid w:val="000E1B09"/>
    <w:rsid w:val="000E218A"/>
    <w:rsid w:val="000E221E"/>
    <w:rsid w:val="000E2809"/>
    <w:rsid w:val="000E2AFB"/>
    <w:rsid w:val="000E3140"/>
    <w:rsid w:val="000E317E"/>
    <w:rsid w:val="000E341B"/>
    <w:rsid w:val="000E38AE"/>
    <w:rsid w:val="000E3954"/>
    <w:rsid w:val="000E3CC0"/>
    <w:rsid w:val="000E42FD"/>
    <w:rsid w:val="000E4522"/>
    <w:rsid w:val="000E45FB"/>
    <w:rsid w:val="000E4CF2"/>
    <w:rsid w:val="000E4FE1"/>
    <w:rsid w:val="000E5104"/>
    <w:rsid w:val="000E55B8"/>
    <w:rsid w:val="000E619B"/>
    <w:rsid w:val="000E644C"/>
    <w:rsid w:val="000E65F2"/>
    <w:rsid w:val="000E6ACB"/>
    <w:rsid w:val="000E6C1A"/>
    <w:rsid w:val="000E6E1E"/>
    <w:rsid w:val="000E6EED"/>
    <w:rsid w:val="000E7583"/>
    <w:rsid w:val="000E77B6"/>
    <w:rsid w:val="000E78CD"/>
    <w:rsid w:val="000F01AA"/>
    <w:rsid w:val="000F0409"/>
    <w:rsid w:val="000F0980"/>
    <w:rsid w:val="000F1297"/>
    <w:rsid w:val="000F1669"/>
    <w:rsid w:val="000F1F41"/>
    <w:rsid w:val="000F2281"/>
    <w:rsid w:val="000F2402"/>
    <w:rsid w:val="000F2451"/>
    <w:rsid w:val="000F2DD1"/>
    <w:rsid w:val="000F3415"/>
    <w:rsid w:val="000F3650"/>
    <w:rsid w:val="000F381D"/>
    <w:rsid w:val="000F3BE9"/>
    <w:rsid w:val="000F3C46"/>
    <w:rsid w:val="000F3CCC"/>
    <w:rsid w:val="000F3D62"/>
    <w:rsid w:val="000F406F"/>
    <w:rsid w:val="000F41D1"/>
    <w:rsid w:val="000F431A"/>
    <w:rsid w:val="000F45AD"/>
    <w:rsid w:val="000F46A3"/>
    <w:rsid w:val="000F496A"/>
    <w:rsid w:val="000F49AC"/>
    <w:rsid w:val="000F50B2"/>
    <w:rsid w:val="000F50D0"/>
    <w:rsid w:val="000F531A"/>
    <w:rsid w:val="000F5594"/>
    <w:rsid w:val="000F55B2"/>
    <w:rsid w:val="000F587F"/>
    <w:rsid w:val="000F59DE"/>
    <w:rsid w:val="000F5A0B"/>
    <w:rsid w:val="000F5B42"/>
    <w:rsid w:val="000F5B94"/>
    <w:rsid w:val="000F5C76"/>
    <w:rsid w:val="000F5C8C"/>
    <w:rsid w:val="000F5E7F"/>
    <w:rsid w:val="000F716D"/>
    <w:rsid w:val="000F7222"/>
    <w:rsid w:val="000F74FC"/>
    <w:rsid w:val="000F7FD8"/>
    <w:rsid w:val="00100290"/>
    <w:rsid w:val="00100463"/>
    <w:rsid w:val="00100A1B"/>
    <w:rsid w:val="00100FD5"/>
    <w:rsid w:val="001015C4"/>
    <w:rsid w:val="00101731"/>
    <w:rsid w:val="00102307"/>
    <w:rsid w:val="0010240A"/>
    <w:rsid w:val="00102ABA"/>
    <w:rsid w:val="00102C00"/>
    <w:rsid w:val="00103182"/>
    <w:rsid w:val="001033D7"/>
    <w:rsid w:val="00103A33"/>
    <w:rsid w:val="001040CB"/>
    <w:rsid w:val="001040E0"/>
    <w:rsid w:val="001045B8"/>
    <w:rsid w:val="001045CF"/>
    <w:rsid w:val="00104E1D"/>
    <w:rsid w:val="00104E1E"/>
    <w:rsid w:val="00104F96"/>
    <w:rsid w:val="001050A3"/>
    <w:rsid w:val="0010514B"/>
    <w:rsid w:val="00105B23"/>
    <w:rsid w:val="00105BF0"/>
    <w:rsid w:val="00105D5C"/>
    <w:rsid w:val="00105D6A"/>
    <w:rsid w:val="00105E86"/>
    <w:rsid w:val="00106501"/>
    <w:rsid w:val="00106513"/>
    <w:rsid w:val="00106654"/>
    <w:rsid w:val="00106797"/>
    <w:rsid w:val="00106D42"/>
    <w:rsid w:val="0010705A"/>
    <w:rsid w:val="00107247"/>
    <w:rsid w:val="001075A3"/>
    <w:rsid w:val="0010782A"/>
    <w:rsid w:val="00107839"/>
    <w:rsid w:val="00107858"/>
    <w:rsid w:val="00107C91"/>
    <w:rsid w:val="00107E00"/>
    <w:rsid w:val="001106E7"/>
    <w:rsid w:val="001108AE"/>
    <w:rsid w:val="00110941"/>
    <w:rsid w:val="00111017"/>
    <w:rsid w:val="0011108A"/>
    <w:rsid w:val="00111315"/>
    <w:rsid w:val="001114E9"/>
    <w:rsid w:val="001118CB"/>
    <w:rsid w:val="00111CD6"/>
    <w:rsid w:val="001127A4"/>
    <w:rsid w:val="0011322C"/>
    <w:rsid w:val="001136D1"/>
    <w:rsid w:val="00113747"/>
    <w:rsid w:val="00113842"/>
    <w:rsid w:val="00113B0D"/>
    <w:rsid w:val="00113F3D"/>
    <w:rsid w:val="0011433B"/>
    <w:rsid w:val="001144CA"/>
    <w:rsid w:val="00114510"/>
    <w:rsid w:val="00114A6D"/>
    <w:rsid w:val="00114E16"/>
    <w:rsid w:val="00115455"/>
    <w:rsid w:val="00115D26"/>
    <w:rsid w:val="00116401"/>
    <w:rsid w:val="00116C6C"/>
    <w:rsid w:val="001171E6"/>
    <w:rsid w:val="001174DB"/>
    <w:rsid w:val="00117AB8"/>
    <w:rsid w:val="00117B2A"/>
    <w:rsid w:val="00117D1B"/>
    <w:rsid w:val="00117DF6"/>
    <w:rsid w:val="00121015"/>
    <w:rsid w:val="00121639"/>
    <w:rsid w:val="00121705"/>
    <w:rsid w:val="00121868"/>
    <w:rsid w:val="00121C64"/>
    <w:rsid w:val="00121E9C"/>
    <w:rsid w:val="0012215E"/>
    <w:rsid w:val="001223BA"/>
    <w:rsid w:val="0012275E"/>
    <w:rsid w:val="00122E55"/>
    <w:rsid w:val="00122F0D"/>
    <w:rsid w:val="0012325E"/>
    <w:rsid w:val="0012346C"/>
    <w:rsid w:val="00123826"/>
    <w:rsid w:val="0012395A"/>
    <w:rsid w:val="00123D52"/>
    <w:rsid w:val="00123E3B"/>
    <w:rsid w:val="0012462F"/>
    <w:rsid w:val="00124935"/>
    <w:rsid w:val="00124FB4"/>
    <w:rsid w:val="00125051"/>
    <w:rsid w:val="00125071"/>
    <w:rsid w:val="0012542A"/>
    <w:rsid w:val="00125486"/>
    <w:rsid w:val="00125749"/>
    <w:rsid w:val="001259FB"/>
    <w:rsid w:val="00125AB5"/>
    <w:rsid w:val="001260AD"/>
    <w:rsid w:val="001261D5"/>
    <w:rsid w:val="001262BF"/>
    <w:rsid w:val="001267C8"/>
    <w:rsid w:val="00127643"/>
    <w:rsid w:val="001279EB"/>
    <w:rsid w:val="001307C4"/>
    <w:rsid w:val="00130CFE"/>
    <w:rsid w:val="00130E76"/>
    <w:rsid w:val="00131387"/>
    <w:rsid w:val="001315F0"/>
    <w:rsid w:val="00131774"/>
    <w:rsid w:val="0013179F"/>
    <w:rsid w:val="00131A90"/>
    <w:rsid w:val="00131C53"/>
    <w:rsid w:val="00131FCE"/>
    <w:rsid w:val="00132008"/>
    <w:rsid w:val="00132172"/>
    <w:rsid w:val="00132253"/>
    <w:rsid w:val="00132498"/>
    <w:rsid w:val="00132C14"/>
    <w:rsid w:val="00132CA8"/>
    <w:rsid w:val="00132CC3"/>
    <w:rsid w:val="001330B9"/>
    <w:rsid w:val="001330F2"/>
    <w:rsid w:val="0013312C"/>
    <w:rsid w:val="00133394"/>
    <w:rsid w:val="0013348B"/>
    <w:rsid w:val="0013361D"/>
    <w:rsid w:val="00134171"/>
    <w:rsid w:val="001353B4"/>
    <w:rsid w:val="00135863"/>
    <w:rsid w:val="0013587D"/>
    <w:rsid w:val="00135F0A"/>
    <w:rsid w:val="0013648D"/>
    <w:rsid w:val="00136751"/>
    <w:rsid w:val="00136F24"/>
    <w:rsid w:val="001371E1"/>
    <w:rsid w:val="00137292"/>
    <w:rsid w:val="00137EE9"/>
    <w:rsid w:val="0014028D"/>
    <w:rsid w:val="00140932"/>
    <w:rsid w:val="00140C9D"/>
    <w:rsid w:val="00141626"/>
    <w:rsid w:val="00141856"/>
    <w:rsid w:val="001421E8"/>
    <w:rsid w:val="00142591"/>
    <w:rsid w:val="00142D6B"/>
    <w:rsid w:val="001436EF"/>
    <w:rsid w:val="00143A58"/>
    <w:rsid w:val="00143AEB"/>
    <w:rsid w:val="00143D2B"/>
    <w:rsid w:val="00144047"/>
    <w:rsid w:val="00144395"/>
    <w:rsid w:val="00144583"/>
    <w:rsid w:val="00144D00"/>
    <w:rsid w:val="00144E72"/>
    <w:rsid w:val="00144EF0"/>
    <w:rsid w:val="00146240"/>
    <w:rsid w:val="00146325"/>
    <w:rsid w:val="001465D8"/>
    <w:rsid w:val="0014678A"/>
    <w:rsid w:val="001468DF"/>
    <w:rsid w:val="00146E9B"/>
    <w:rsid w:val="00146FFE"/>
    <w:rsid w:val="00147611"/>
    <w:rsid w:val="00150085"/>
    <w:rsid w:val="0015030B"/>
    <w:rsid w:val="00150529"/>
    <w:rsid w:val="001508B5"/>
    <w:rsid w:val="00150B74"/>
    <w:rsid w:val="00150CEA"/>
    <w:rsid w:val="00150ECC"/>
    <w:rsid w:val="00151015"/>
    <w:rsid w:val="00151399"/>
    <w:rsid w:val="00151A28"/>
    <w:rsid w:val="00151AB8"/>
    <w:rsid w:val="00151E41"/>
    <w:rsid w:val="00152290"/>
    <w:rsid w:val="001529EB"/>
    <w:rsid w:val="0015326F"/>
    <w:rsid w:val="0015371F"/>
    <w:rsid w:val="00153948"/>
    <w:rsid w:val="00153A97"/>
    <w:rsid w:val="0015474A"/>
    <w:rsid w:val="00154807"/>
    <w:rsid w:val="00155254"/>
    <w:rsid w:val="001554F7"/>
    <w:rsid w:val="0015583F"/>
    <w:rsid w:val="00155B54"/>
    <w:rsid w:val="0015625E"/>
    <w:rsid w:val="001568E7"/>
    <w:rsid w:val="00157035"/>
    <w:rsid w:val="00157192"/>
    <w:rsid w:val="001571AB"/>
    <w:rsid w:val="001575A2"/>
    <w:rsid w:val="0015760B"/>
    <w:rsid w:val="00157668"/>
    <w:rsid w:val="00157E16"/>
    <w:rsid w:val="00160115"/>
    <w:rsid w:val="00160287"/>
    <w:rsid w:val="0016044C"/>
    <w:rsid w:val="00160550"/>
    <w:rsid w:val="001606EC"/>
    <w:rsid w:val="00160928"/>
    <w:rsid w:val="00160C69"/>
    <w:rsid w:val="00161073"/>
    <w:rsid w:val="001610BB"/>
    <w:rsid w:val="0016131B"/>
    <w:rsid w:val="0016211E"/>
    <w:rsid w:val="00162154"/>
    <w:rsid w:val="001621E0"/>
    <w:rsid w:val="00162275"/>
    <w:rsid w:val="0016233A"/>
    <w:rsid w:val="001624EC"/>
    <w:rsid w:val="00162FE9"/>
    <w:rsid w:val="001630B5"/>
    <w:rsid w:val="00163534"/>
    <w:rsid w:val="00164567"/>
    <w:rsid w:val="00164606"/>
    <w:rsid w:val="001649B1"/>
    <w:rsid w:val="001651BB"/>
    <w:rsid w:val="00165201"/>
    <w:rsid w:val="0016538B"/>
    <w:rsid w:val="001653E1"/>
    <w:rsid w:val="00165557"/>
    <w:rsid w:val="001658D6"/>
    <w:rsid w:val="00165957"/>
    <w:rsid w:val="00165F96"/>
    <w:rsid w:val="001661F1"/>
    <w:rsid w:val="00166291"/>
    <w:rsid w:val="0016648D"/>
    <w:rsid w:val="00166A94"/>
    <w:rsid w:val="00166C0D"/>
    <w:rsid w:val="00166F17"/>
    <w:rsid w:val="00167394"/>
    <w:rsid w:val="00167815"/>
    <w:rsid w:val="0016794B"/>
    <w:rsid w:val="00167F76"/>
    <w:rsid w:val="001704C3"/>
    <w:rsid w:val="001708F4"/>
    <w:rsid w:val="00170939"/>
    <w:rsid w:val="00171012"/>
    <w:rsid w:val="0017145F"/>
    <w:rsid w:val="00171771"/>
    <w:rsid w:val="00171816"/>
    <w:rsid w:val="00171A37"/>
    <w:rsid w:val="00171A5D"/>
    <w:rsid w:val="00171E0E"/>
    <w:rsid w:val="00171EB0"/>
    <w:rsid w:val="001720EA"/>
    <w:rsid w:val="00172665"/>
    <w:rsid w:val="00172BAC"/>
    <w:rsid w:val="001733B5"/>
    <w:rsid w:val="0017368A"/>
    <w:rsid w:val="00173D50"/>
    <w:rsid w:val="00174095"/>
    <w:rsid w:val="00174311"/>
    <w:rsid w:val="00174370"/>
    <w:rsid w:val="00174740"/>
    <w:rsid w:val="00174928"/>
    <w:rsid w:val="00174B56"/>
    <w:rsid w:val="00174CBF"/>
    <w:rsid w:val="00174E87"/>
    <w:rsid w:val="00175687"/>
    <w:rsid w:val="001757EF"/>
    <w:rsid w:val="00175E53"/>
    <w:rsid w:val="001762B1"/>
    <w:rsid w:val="001764FE"/>
    <w:rsid w:val="00176B93"/>
    <w:rsid w:val="001771A6"/>
    <w:rsid w:val="00177942"/>
    <w:rsid w:val="00177BF2"/>
    <w:rsid w:val="00177D40"/>
    <w:rsid w:val="00177FAF"/>
    <w:rsid w:val="0018080A"/>
    <w:rsid w:val="00180A39"/>
    <w:rsid w:val="00180B52"/>
    <w:rsid w:val="00180CE9"/>
    <w:rsid w:val="00180E25"/>
    <w:rsid w:val="00180ECE"/>
    <w:rsid w:val="001810B1"/>
    <w:rsid w:val="0018159A"/>
    <w:rsid w:val="00181654"/>
    <w:rsid w:val="00181EFD"/>
    <w:rsid w:val="00182195"/>
    <w:rsid w:val="00182247"/>
    <w:rsid w:val="0018229A"/>
    <w:rsid w:val="001822BE"/>
    <w:rsid w:val="00182F15"/>
    <w:rsid w:val="0018398F"/>
    <w:rsid w:val="00183EBE"/>
    <w:rsid w:val="0018411D"/>
    <w:rsid w:val="001841BE"/>
    <w:rsid w:val="0018426D"/>
    <w:rsid w:val="00184475"/>
    <w:rsid w:val="00184597"/>
    <w:rsid w:val="00184BAD"/>
    <w:rsid w:val="001850EC"/>
    <w:rsid w:val="00185D3F"/>
    <w:rsid w:val="00185EDE"/>
    <w:rsid w:val="00186A67"/>
    <w:rsid w:val="00186AF1"/>
    <w:rsid w:val="00186D2A"/>
    <w:rsid w:val="00186DEF"/>
    <w:rsid w:val="00186EE1"/>
    <w:rsid w:val="001875F0"/>
    <w:rsid w:val="00187B48"/>
    <w:rsid w:val="00187D2B"/>
    <w:rsid w:val="00190199"/>
    <w:rsid w:val="0019025D"/>
    <w:rsid w:val="00190493"/>
    <w:rsid w:val="00190510"/>
    <w:rsid w:val="001909EE"/>
    <w:rsid w:val="00190BE8"/>
    <w:rsid w:val="00190E7F"/>
    <w:rsid w:val="001912B9"/>
    <w:rsid w:val="00191547"/>
    <w:rsid w:val="00191799"/>
    <w:rsid w:val="0019195C"/>
    <w:rsid w:val="001922D7"/>
    <w:rsid w:val="001924BA"/>
    <w:rsid w:val="00193033"/>
    <w:rsid w:val="0019303F"/>
    <w:rsid w:val="00193408"/>
    <w:rsid w:val="00193789"/>
    <w:rsid w:val="00193829"/>
    <w:rsid w:val="00193A0E"/>
    <w:rsid w:val="00193BFB"/>
    <w:rsid w:val="00194094"/>
    <w:rsid w:val="001941AE"/>
    <w:rsid w:val="00194A42"/>
    <w:rsid w:val="00194D89"/>
    <w:rsid w:val="001950DC"/>
    <w:rsid w:val="001950F0"/>
    <w:rsid w:val="001953B6"/>
    <w:rsid w:val="0019567E"/>
    <w:rsid w:val="00195AD0"/>
    <w:rsid w:val="00195FBC"/>
    <w:rsid w:val="001965BA"/>
    <w:rsid w:val="001966D2"/>
    <w:rsid w:val="00196D00"/>
    <w:rsid w:val="00197350"/>
    <w:rsid w:val="00197383"/>
    <w:rsid w:val="00197890"/>
    <w:rsid w:val="00197CD2"/>
    <w:rsid w:val="001A00B5"/>
    <w:rsid w:val="001A053B"/>
    <w:rsid w:val="001A07ED"/>
    <w:rsid w:val="001A0E8F"/>
    <w:rsid w:val="001A116B"/>
    <w:rsid w:val="001A14C3"/>
    <w:rsid w:val="001A156A"/>
    <w:rsid w:val="001A1637"/>
    <w:rsid w:val="001A1E5A"/>
    <w:rsid w:val="001A1FBD"/>
    <w:rsid w:val="001A202F"/>
    <w:rsid w:val="001A21BE"/>
    <w:rsid w:val="001A2A88"/>
    <w:rsid w:val="001A3BF9"/>
    <w:rsid w:val="001A3E11"/>
    <w:rsid w:val="001A41A2"/>
    <w:rsid w:val="001A43CD"/>
    <w:rsid w:val="001A4AA8"/>
    <w:rsid w:val="001A5163"/>
    <w:rsid w:val="001A53AC"/>
    <w:rsid w:val="001A5562"/>
    <w:rsid w:val="001A5D47"/>
    <w:rsid w:val="001A5DDE"/>
    <w:rsid w:val="001A6132"/>
    <w:rsid w:val="001A62A8"/>
    <w:rsid w:val="001A62C1"/>
    <w:rsid w:val="001A63EE"/>
    <w:rsid w:val="001A6600"/>
    <w:rsid w:val="001A67CC"/>
    <w:rsid w:val="001A6C31"/>
    <w:rsid w:val="001A72E6"/>
    <w:rsid w:val="001A7473"/>
    <w:rsid w:val="001A74AD"/>
    <w:rsid w:val="001A7B5F"/>
    <w:rsid w:val="001B0444"/>
    <w:rsid w:val="001B062F"/>
    <w:rsid w:val="001B06C5"/>
    <w:rsid w:val="001B09EB"/>
    <w:rsid w:val="001B0E70"/>
    <w:rsid w:val="001B0F0B"/>
    <w:rsid w:val="001B16A6"/>
    <w:rsid w:val="001B16DE"/>
    <w:rsid w:val="001B1850"/>
    <w:rsid w:val="001B1AE9"/>
    <w:rsid w:val="001B1D67"/>
    <w:rsid w:val="001B2A9A"/>
    <w:rsid w:val="001B2DEB"/>
    <w:rsid w:val="001B310A"/>
    <w:rsid w:val="001B316F"/>
    <w:rsid w:val="001B3993"/>
    <w:rsid w:val="001B4931"/>
    <w:rsid w:val="001B4F30"/>
    <w:rsid w:val="001B4FDF"/>
    <w:rsid w:val="001B524E"/>
    <w:rsid w:val="001B5818"/>
    <w:rsid w:val="001B5E24"/>
    <w:rsid w:val="001B62AA"/>
    <w:rsid w:val="001B64DE"/>
    <w:rsid w:val="001B68CB"/>
    <w:rsid w:val="001B7267"/>
    <w:rsid w:val="001B7338"/>
    <w:rsid w:val="001B7C8D"/>
    <w:rsid w:val="001B7ED2"/>
    <w:rsid w:val="001C0122"/>
    <w:rsid w:val="001C0B94"/>
    <w:rsid w:val="001C0F18"/>
    <w:rsid w:val="001C16BF"/>
    <w:rsid w:val="001C1CC4"/>
    <w:rsid w:val="001C20DB"/>
    <w:rsid w:val="001C236C"/>
    <w:rsid w:val="001C2384"/>
    <w:rsid w:val="001C2475"/>
    <w:rsid w:val="001C29D6"/>
    <w:rsid w:val="001C2D19"/>
    <w:rsid w:val="001C3164"/>
    <w:rsid w:val="001C362F"/>
    <w:rsid w:val="001C39D1"/>
    <w:rsid w:val="001C3AED"/>
    <w:rsid w:val="001C3BE9"/>
    <w:rsid w:val="001C3C94"/>
    <w:rsid w:val="001C3E3C"/>
    <w:rsid w:val="001C4198"/>
    <w:rsid w:val="001C45A9"/>
    <w:rsid w:val="001C4674"/>
    <w:rsid w:val="001C46E1"/>
    <w:rsid w:val="001C4F03"/>
    <w:rsid w:val="001C517E"/>
    <w:rsid w:val="001C5D9B"/>
    <w:rsid w:val="001C5DFA"/>
    <w:rsid w:val="001C6CDD"/>
    <w:rsid w:val="001C6DBE"/>
    <w:rsid w:val="001C6DD4"/>
    <w:rsid w:val="001C6EFF"/>
    <w:rsid w:val="001C6F19"/>
    <w:rsid w:val="001C6FB8"/>
    <w:rsid w:val="001C702E"/>
    <w:rsid w:val="001C77A1"/>
    <w:rsid w:val="001D0010"/>
    <w:rsid w:val="001D0D39"/>
    <w:rsid w:val="001D0E78"/>
    <w:rsid w:val="001D175E"/>
    <w:rsid w:val="001D1887"/>
    <w:rsid w:val="001D19E5"/>
    <w:rsid w:val="001D1A4D"/>
    <w:rsid w:val="001D2036"/>
    <w:rsid w:val="001D2145"/>
    <w:rsid w:val="001D2295"/>
    <w:rsid w:val="001D2691"/>
    <w:rsid w:val="001D3191"/>
    <w:rsid w:val="001D3257"/>
    <w:rsid w:val="001D32A2"/>
    <w:rsid w:val="001D357D"/>
    <w:rsid w:val="001D3C7F"/>
    <w:rsid w:val="001D4E6F"/>
    <w:rsid w:val="001D51A1"/>
    <w:rsid w:val="001D55CD"/>
    <w:rsid w:val="001D5CC0"/>
    <w:rsid w:val="001D6395"/>
    <w:rsid w:val="001D67A1"/>
    <w:rsid w:val="001D686C"/>
    <w:rsid w:val="001D6B3E"/>
    <w:rsid w:val="001D6F18"/>
    <w:rsid w:val="001D6F1D"/>
    <w:rsid w:val="001D6F93"/>
    <w:rsid w:val="001D700B"/>
    <w:rsid w:val="001D7020"/>
    <w:rsid w:val="001D74C4"/>
    <w:rsid w:val="001D74D1"/>
    <w:rsid w:val="001D7838"/>
    <w:rsid w:val="001D7A85"/>
    <w:rsid w:val="001E0EF3"/>
    <w:rsid w:val="001E0FC2"/>
    <w:rsid w:val="001E104E"/>
    <w:rsid w:val="001E13C8"/>
    <w:rsid w:val="001E16E2"/>
    <w:rsid w:val="001E1758"/>
    <w:rsid w:val="001E19EF"/>
    <w:rsid w:val="001E219E"/>
    <w:rsid w:val="001E2ACE"/>
    <w:rsid w:val="001E2CD4"/>
    <w:rsid w:val="001E2D8F"/>
    <w:rsid w:val="001E2F0A"/>
    <w:rsid w:val="001E3244"/>
    <w:rsid w:val="001E33E1"/>
    <w:rsid w:val="001E3742"/>
    <w:rsid w:val="001E38D2"/>
    <w:rsid w:val="001E3907"/>
    <w:rsid w:val="001E477F"/>
    <w:rsid w:val="001E487F"/>
    <w:rsid w:val="001E500A"/>
    <w:rsid w:val="001E5191"/>
    <w:rsid w:val="001E549F"/>
    <w:rsid w:val="001E57E0"/>
    <w:rsid w:val="001E5ADF"/>
    <w:rsid w:val="001E6335"/>
    <w:rsid w:val="001E67C9"/>
    <w:rsid w:val="001E6B89"/>
    <w:rsid w:val="001E6F06"/>
    <w:rsid w:val="001E7127"/>
    <w:rsid w:val="001E7A6E"/>
    <w:rsid w:val="001E7ABB"/>
    <w:rsid w:val="001F05E8"/>
    <w:rsid w:val="001F0AB1"/>
    <w:rsid w:val="001F0C34"/>
    <w:rsid w:val="001F0C7B"/>
    <w:rsid w:val="001F0C80"/>
    <w:rsid w:val="001F1062"/>
    <w:rsid w:val="001F13B6"/>
    <w:rsid w:val="001F1554"/>
    <w:rsid w:val="001F15D0"/>
    <w:rsid w:val="001F1827"/>
    <w:rsid w:val="001F1DD1"/>
    <w:rsid w:val="001F22A0"/>
    <w:rsid w:val="001F296B"/>
    <w:rsid w:val="001F2AEA"/>
    <w:rsid w:val="001F2C9B"/>
    <w:rsid w:val="001F3AC7"/>
    <w:rsid w:val="001F3EDE"/>
    <w:rsid w:val="001F43DE"/>
    <w:rsid w:val="001F4417"/>
    <w:rsid w:val="001F4955"/>
    <w:rsid w:val="001F4C00"/>
    <w:rsid w:val="001F5809"/>
    <w:rsid w:val="001F5927"/>
    <w:rsid w:val="001F5A37"/>
    <w:rsid w:val="001F5F88"/>
    <w:rsid w:val="001F6514"/>
    <w:rsid w:val="001F6560"/>
    <w:rsid w:val="001F6986"/>
    <w:rsid w:val="001F7372"/>
    <w:rsid w:val="001F7AB6"/>
    <w:rsid w:val="001F7FF8"/>
    <w:rsid w:val="002007A4"/>
    <w:rsid w:val="00200E04"/>
    <w:rsid w:val="00201339"/>
    <w:rsid w:val="00201601"/>
    <w:rsid w:val="00201759"/>
    <w:rsid w:val="00201F64"/>
    <w:rsid w:val="00202208"/>
    <w:rsid w:val="00202541"/>
    <w:rsid w:val="002028BC"/>
    <w:rsid w:val="00202C32"/>
    <w:rsid w:val="002033F0"/>
    <w:rsid w:val="002036D8"/>
    <w:rsid w:val="00203B25"/>
    <w:rsid w:val="00203E21"/>
    <w:rsid w:val="00203FA4"/>
    <w:rsid w:val="00204144"/>
    <w:rsid w:val="00204368"/>
    <w:rsid w:val="00204459"/>
    <w:rsid w:val="00204A4F"/>
    <w:rsid w:val="00204A53"/>
    <w:rsid w:val="00205E31"/>
    <w:rsid w:val="0020749F"/>
    <w:rsid w:val="002076FF"/>
    <w:rsid w:val="00207C2D"/>
    <w:rsid w:val="00207D9D"/>
    <w:rsid w:val="00210711"/>
    <w:rsid w:val="002108FE"/>
    <w:rsid w:val="00211115"/>
    <w:rsid w:val="00211418"/>
    <w:rsid w:val="00211577"/>
    <w:rsid w:val="0021162C"/>
    <w:rsid w:val="00211806"/>
    <w:rsid w:val="00211891"/>
    <w:rsid w:val="00211AA7"/>
    <w:rsid w:val="00211BA6"/>
    <w:rsid w:val="00211EA5"/>
    <w:rsid w:val="00211F8B"/>
    <w:rsid w:val="00212357"/>
    <w:rsid w:val="00212706"/>
    <w:rsid w:val="0021280A"/>
    <w:rsid w:val="00212A24"/>
    <w:rsid w:val="00212B9B"/>
    <w:rsid w:val="00212C6C"/>
    <w:rsid w:val="00212DE1"/>
    <w:rsid w:val="00212F7D"/>
    <w:rsid w:val="00213432"/>
    <w:rsid w:val="002134A8"/>
    <w:rsid w:val="002134E9"/>
    <w:rsid w:val="0021358B"/>
    <w:rsid w:val="00213690"/>
    <w:rsid w:val="0021384D"/>
    <w:rsid w:val="00213D00"/>
    <w:rsid w:val="00213EDB"/>
    <w:rsid w:val="00214073"/>
    <w:rsid w:val="002140B0"/>
    <w:rsid w:val="002141B2"/>
    <w:rsid w:val="00214442"/>
    <w:rsid w:val="00215039"/>
    <w:rsid w:val="00215AA0"/>
    <w:rsid w:val="00216592"/>
    <w:rsid w:val="00216ADB"/>
    <w:rsid w:val="00216C65"/>
    <w:rsid w:val="00217CDC"/>
    <w:rsid w:val="002202BF"/>
    <w:rsid w:val="0022044D"/>
    <w:rsid w:val="0022056C"/>
    <w:rsid w:val="002206A1"/>
    <w:rsid w:val="00220E67"/>
    <w:rsid w:val="00222980"/>
    <w:rsid w:val="00222E70"/>
    <w:rsid w:val="002238EF"/>
    <w:rsid w:val="0022403E"/>
    <w:rsid w:val="002240A8"/>
    <w:rsid w:val="002244C0"/>
    <w:rsid w:val="00224501"/>
    <w:rsid w:val="00224933"/>
    <w:rsid w:val="00224E6D"/>
    <w:rsid w:val="00224E9C"/>
    <w:rsid w:val="0022534A"/>
    <w:rsid w:val="0022540B"/>
    <w:rsid w:val="00225D32"/>
    <w:rsid w:val="00225DB8"/>
    <w:rsid w:val="00225FAA"/>
    <w:rsid w:val="002260AA"/>
    <w:rsid w:val="00226134"/>
    <w:rsid w:val="002265FA"/>
    <w:rsid w:val="00226A29"/>
    <w:rsid w:val="00226E5E"/>
    <w:rsid w:val="00227264"/>
    <w:rsid w:val="002272B6"/>
    <w:rsid w:val="00227758"/>
    <w:rsid w:val="002279F4"/>
    <w:rsid w:val="00227C9C"/>
    <w:rsid w:val="00227EB8"/>
    <w:rsid w:val="00230035"/>
    <w:rsid w:val="00230EE5"/>
    <w:rsid w:val="00230F1B"/>
    <w:rsid w:val="002312EF"/>
    <w:rsid w:val="00231417"/>
    <w:rsid w:val="00231BF4"/>
    <w:rsid w:val="00231CD6"/>
    <w:rsid w:val="00231F2B"/>
    <w:rsid w:val="00232147"/>
    <w:rsid w:val="00232155"/>
    <w:rsid w:val="0023289D"/>
    <w:rsid w:val="0023293F"/>
    <w:rsid w:val="002329F1"/>
    <w:rsid w:val="00232CAA"/>
    <w:rsid w:val="002333EC"/>
    <w:rsid w:val="002338A5"/>
    <w:rsid w:val="00233BD3"/>
    <w:rsid w:val="00234258"/>
    <w:rsid w:val="00234501"/>
    <w:rsid w:val="002347AA"/>
    <w:rsid w:val="00234EB0"/>
    <w:rsid w:val="002362C0"/>
    <w:rsid w:val="00236B9F"/>
    <w:rsid w:val="00236DCC"/>
    <w:rsid w:val="00236E81"/>
    <w:rsid w:val="00236FE8"/>
    <w:rsid w:val="002370B5"/>
    <w:rsid w:val="00237229"/>
    <w:rsid w:val="00237662"/>
    <w:rsid w:val="00237DE7"/>
    <w:rsid w:val="00240FEF"/>
    <w:rsid w:val="00241140"/>
    <w:rsid w:val="00241298"/>
    <w:rsid w:val="00241370"/>
    <w:rsid w:val="00241A77"/>
    <w:rsid w:val="00242083"/>
    <w:rsid w:val="002422A8"/>
    <w:rsid w:val="002423C4"/>
    <w:rsid w:val="0024245B"/>
    <w:rsid w:val="00242556"/>
    <w:rsid w:val="00242683"/>
    <w:rsid w:val="0024284A"/>
    <w:rsid w:val="002428D7"/>
    <w:rsid w:val="00242B4F"/>
    <w:rsid w:val="00242C42"/>
    <w:rsid w:val="0024348F"/>
    <w:rsid w:val="002434F6"/>
    <w:rsid w:val="00243979"/>
    <w:rsid w:val="002439E9"/>
    <w:rsid w:val="00243D7F"/>
    <w:rsid w:val="00243EE1"/>
    <w:rsid w:val="00244491"/>
    <w:rsid w:val="00244E11"/>
    <w:rsid w:val="00245951"/>
    <w:rsid w:val="00246869"/>
    <w:rsid w:val="002471BD"/>
    <w:rsid w:val="0024733B"/>
    <w:rsid w:val="00247571"/>
    <w:rsid w:val="002475EC"/>
    <w:rsid w:val="00247FCF"/>
    <w:rsid w:val="00250294"/>
    <w:rsid w:val="0025036F"/>
    <w:rsid w:val="0025073F"/>
    <w:rsid w:val="002508A3"/>
    <w:rsid w:val="00250D66"/>
    <w:rsid w:val="00250E24"/>
    <w:rsid w:val="00250F08"/>
    <w:rsid w:val="0025144C"/>
    <w:rsid w:val="00251856"/>
    <w:rsid w:val="00251DBF"/>
    <w:rsid w:val="00251EF6"/>
    <w:rsid w:val="00252E0B"/>
    <w:rsid w:val="002531D5"/>
    <w:rsid w:val="0025333E"/>
    <w:rsid w:val="002534B9"/>
    <w:rsid w:val="00254998"/>
    <w:rsid w:val="00254D26"/>
    <w:rsid w:val="00255581"/>
    <w:rsid w:val="00255B2E"/>
    <w:rsid w:val="00255CCA"/>
    <w:rsid w:val="00255CCB"/>
    <w:rsid w:val="00255D23"/>
    <w:rsid w:val="00255FE4"/>
    <w:rsid w:val="002563F5"/>
    <w:rsid w:val="002567E1"/>
    <w:rsid w:val="00256AD9"/>
    <w:rsid w:val="0025754A"/>
    <w:rsid w:val="002578F0"/>
    <w:rsid w:val="002605EA"/>
    <w:rsid w:val="00260A17"/>
    <w:rsid w:val="00260F4D"/>
    <w:rsid w:val="00260FD7"/>
    <w:rsid w:val="002613B9"/>
    <w:rsid w:val="0026163B"/>
    <w:rsid w:val="00261A73"/>
    <w:rsid w:val="00261EAB"/>
    <w:rsid w:val="002626A8"/>
    <w:rsid w:val="00262993"/>
    <w:rsid w:val="00262C7B"/>
    <w:rsid w:val="00262C8D"/>
    <w:rsid w:val="002630E5"/>
    <w:rsid w:val="0026314F"/>
    <w:rsid w:val="0026329E"/>
    <w:rsid w:val="0026336B"/>
    <w:rsid w:val="00263717"/>
    <w:rsid w:val="002638B2"/>
    <w:rsid w:val="002639B7"/>
    <w:rsid w:val="00263E36"/>
    <w:rsid w:val="00264148"/>
    <w:rsid w:val="00264189"/>
    <w:rsid w:val="002641DF"/>
    <w:rsid w:val="00264346"/>
    <w:rsid w:val="00264BC3"/>
    <w:rsid w:val="00264CD2"/>
    <w:rsid w:val="00264D21"/>
    <w:rsid w:val="00265969"/>
    <w:rsid w:val="00265B36"/>
    <w:rsid w:val="00265EC3"/>
    <w:rsid w:val="0026644C"/>
    <w:rsid w:val="00266CBF"/>
    <w:rsid w:val="00267404"/>
    <w:rsid w:val="00267A0F"/>
    <w:rsid w:val="00270632"/>
    <w:rsid w:val="002707B6"/>
    <w:rsid w:val="002709B1"/>
    <w:rsid w:val="00270BE2"/>
    <w:rsid w:val="00270D17"/>
    <w:rsid w:val="0027133C"/>
    <w:rsid w:val="0027193A"/>
    <w:rsid w:val="0027237B"/>
    <w:rsid w:val="00272918"/>
    <w:rsid w:val="00272B07"/>
    <w:rsid w:val="00272DF2"/>
    <w:rsid w:val="00272E79"/>
    <w:rsid w:val="00273342"/>
    <w:rsid w:val="00273ABA"/>
    <w:rsid w:val="00273DED"/>
    <w:rsid w:val="00274E35"/>
    <w:rsid w:val="00274F9A"/>
    <w:rsid w:val="00275016"/>
    <w:rsid w:val="00275BD6"/>
    <w:rsid w:val="002764D5"/>
    <w:rsid w:val="002765B9"/>
    <w:rsid w:val="002769E2"/>
    <w:rsid w:val="00276F93"/>
    <w:rsid w:val="002777C5"/>
    <w:rsid w:val="00280051"/>
    <w:rsid w:val="0028046C"/>
    <w:rsid w:val="0028049D"/>
    <w:rsid w:val="0028063A"/>
    <w:rsid w:val="00280AA8"/>
    <w:rsid w:val="00281979"/>
    <w:rsid w:val="002821D5"/>
    <w:rsid w:val="00282466"/>
    <w:rsid w:val="0028315C"/>
    <w:rsid w:val="002833DD"/>
    <w:rsid w:val="0028378C"/>
    <w:rsid w:val="002843D9"/>
    <w:rsid w:val="002849B6"/>
    <w:rsid w:val="002852C2"/>
    <w:rsid w:val="002856D9"/>
    <w:rsid w:val="00285881"/>
    <w:rsid w:val="002859A2"/>
    <w:rsid w:val="00286F8D"/>
    <w:rsid w:val="00286FF2"/>
    <w:rsid w:val="00287140"/>
    <w:rsid w:val="00287345"/>
    <w:rsid w:val="002874F8"/>
    <w:rsid w:val="00287921"/>
    <w:rsid w:val="002901B8"/>
    <w:rsid w:val="0029026B"/>
    <w:rsid w:val="00290314"/>
    <w:rsid w:val="00290454"/>
    <w:rsid w:val="00290C06"/>
    <w:rsid w:val="00290EAC"/>
    <w:rsid w:val="00290F00"/>
    <w:rsid w:val="0029131D"/>
    <w:rsid w:val="0029185E"/>
    <w:rsid w:val="00291861"/>
    <w:rsid w:val="00291955"/>
    <w:rsid w:val="00291D03"/>
    <w:rsid w:val="00291D1C"/>
    <w:rsid w:val="00291E3D"/>
    <w:rsid w:val="00291EBF"/>
    <w:rsid w:val="0029262D"/>
    <w:rsid w:val="0029269A"/>
    <w:rsid w:val="002928D7"/>
    <w:rsid w:val="00292B04"/>
    <w:rsid w:val="00292CEB"/>
    <w:rsid w:val="00292FFA"/>
    <w:rsid w:val="0029352D"/>
    <w:rsid w:val="00293AFE"/>
    <w:rsid w:val="00293D36"/>
    <w:rsid w:val="00293E9B"/>
    <w:rsid w:val="0029453B"/>
    <w:rsid w:val="0029481D"/>
    <w:rsid w:val="00294A95"/>
    <w:rsid w:val="00294B9C"/>
    <w:rsid w:val="00294BC0"/>
    <w:rsid w:val="00295228"/>
    <w:rsid w:val="0029590D"/>
    <w:rsid w:val="00295965"/>
    <w:rsid w:val="00295E5D"/>
    <w:rsid w:val="00295E90"/>
    <w:rsid w:val="002961A4"/>
    <w:rsid w:val="00296B00"/>
    <w:rsid w:val="00296CC6"/>
    <w:rsid w:val="00296F2F"/>
    <w:rsid w:val="00297248"/>
    <w:rsid w:val="00297666"/>
    <w:rsid w:val="00297954"/>
    <w:rsid w:val="00297972"/>
    <w:rsid w:val="00297D24"/>
    <w:rsid w:val="002A1BD0"/>
    <w:rsid w:val="002A248A"/>
    <w:rsid w:val="002A25E6"/>
    <w:rsid w:val="002A290C"/>
    <w:rsid w:val="002A2AFF"/>
    <w:rsid w:val="002A2B6C"/>
    <w:rsid w:val="002A2CED"/>
    <w:rsid w:val="002A2E30"/>
    <w:rsid w:val="002A2F60"/>
    <w:rsid w:val="002A33E7"/>
    <w:rsid w:val="002A35C4"/>
    <w:rsid w:val="002A37D7"/>
    <w:rsid w:val="002A39B6"/>
    <w:rsid w:val="002A4A4A"/>
    <w:rsid w:val="002A4A5E"/>
    <w:rsid w:val="002A4F78"/>
    <w:rsid w:val="002A500D"/>
    <w:rsid w:val="002A56CD"/>
    <w:rsid w:val="002A586F"/>
    <w:rsid w:val="002A5D05"/>
    <w:rsid w:val="002A5EA7"/>
    <w:rsid w:val="002A5F29"/>
    <w:rsid w:val="002A60C2"/>
    <w:rsid w:val="002A67C2"/>
    <w:rsid w:val="002A6A9B"/>
    <w:rsid w:val="002A6CE3"/>
    <w:rsid w:val="002A6DDD"/>
    <w:rsid w:val="002A6E37"/>
    <w:rsid w:val="002A7544"/>
    <w:rsid w:val="002A7F74"/>
    <w:rsid w:val="002B09B1"/>
    <w:rsid w:val="002B0CF7"/>
    <w:rsid w:val="002B0D3E"/>
    <w:rsid w:val="002B1B42"/>
    <w:rsid w:val="002B1F9E"/>
    <w:rsid w:val="002B22A7"/>
    <w:rsid w:val="002B23ED"/>
    <w:rsid w:val="002B2C3B"/>
    <w:rsid w:val="002B2E92"/>
    <w:rsid w:val="002B322E"/>
    <w:rsid w:val="002B33A2"/>
    <w:rsid w:val="002B33EA"/>
    <w:rsid w:val="002B382D"/>
    <w:rsid w:val="002B3882"/>
    <w:rsid w:val="002B407E"/>
    <w:rsid w:val="002B437D"/>
    <w:rsid w:val="002B481B"/>
    <w:rsid w:val="002B4EA2"/>
    <w:rsid w:val="002B51FB"/>
    <w:rsid w:val="002B5AAD"/>
    <w:rsid w:val="002B6313"/>
    <w:rsid w:val="002B6323"/>
    <w:rsid w:val="002B6782"/>
    <w:rsid w:val="002B6BE8"/>
    <w:rsid w:val="002B6BE9"/>
    <w:rsid w:val="002B6D91"/>
    <w:rsid w:val="002B6F16"/>
    <w:rsid w:val="002B6FB4"/>
    <w:rsid w:val="002B6FF0"/>
    <w:rsid w:val="002B74DE"/>
    <w:rsid w:val="002B7883"/>
    <w:rsid w:val="002B7908"/>
    <w:rsid w:val="002B7B97"/>
    <w:rsid w:val="002B7E6D"/>
    <w:rsid w:val="002C02A4"/>
    <w:rsid w:val="002C043E"/>
    <w:rsid w:val="002C0C43"/>
    <w:rsid w:val="002C0C48"/>
    <w:rsid w:val="002C0D69"/>
    <w:rsid w:val="002C1080"/>
    <w:rsid w:val="002C12B0"/>
    <w:rsid w:val="002C1332"/>
    <w:rsid w:val="002C185B"/>
    <w:rsid w:val="002C1948"/>
    <w:rsid w:val="002C1A61"/>
    <w:rsid w:val="002C1D82"/>
    <w:rsid w:val="002C1F79"/>
    <w:rsid w:val="002C209D"/>
    <w:rsid w:val="002C224D"/>
    <w:rsid w:val="002C2A6C"/>
    <w:rsid w:val="002C2A7B"/>
    <w:rsid w:val="002C2D54"/>
    <w:rsid w:val="002C2F73"/>
    <w:rsid w:val="002C3411"/>
    <w:rsid w:val="002C35B0"/>
    <w:rsid w:val="002C3C08"/>
    <w:rsid w:val="002C458A"/>
    <w:rsid w:val="002C4837"/>
    <w:rsid w:val="002C49CC"/>
    <w:rsid w:val="002C4AAE"/>
    <w:rsid w:val="002C57A3"/>
    <w:rsid w:val="002C61D9"/>
    <w:rsid w:val="002C62DC"/>
    <w:rsid w:val="002C6383"/>
    <w:rsid w:val="002C66A2"/>
    <w:rsid w:val="002C6924"/>
    <w:rsid w:val="002C7936"/>
    <w:rsid w:val="002C7A61"/>
    <w:rsid w:val="002C7DE3"/>
    <w:rsid w:val="002C7F29"/>
    <w:rsid w:val="002D010C"/>
    <w:rsid w:val="002D0251"/>
    <w:rsid w:val="002D0393"/>
    <w:rsid w:val="002D03E7"/>
    <w:rsid w:val="002D0478"/>
    <w:rsid w:val="002D04A1"/>
    <w:rsid w:val="002D1219"/>
    <w:rsid w:val="002D1778"/>
    <w:rsid w:val="002D1A34"/>
    <w:rsid w:val="002D1A9A"/>
    <w:rsid w:val="002D1DBB"/>
    <w:rsid w:val="002D1FA6"/>
    <w:rsid w:val="002D20C2"/>
    <w:rsid w:val="002D25C2"/>
    <w:rsid w:val="002D2673"/>
    <w:rsid w:val="002D2716"/>
    <w:rsid w:val="002D2BBE"/>
    <w:rsid w:val="002D2C47"/>
    <w:rsid w:val="002D2D57"/>
    <w:rsid w:val="002D321E"/>
    <w:rsid w:val="002D351E"/>
    <w:rsid w:val="002D459B"/>
    <w:rsid w:val="002D4866"/>
    <w:rsid w:val="002D4960"/>
    <w:rsid w:val="002D4A38"/>
    <w:rsid w:val="002D4DEE"/>
    <w:rsid w:val="002D554B"/>
    <w:rsid w:val="002D69DD"/>
    <w:rsid w:val="002D6A72"/>
    <w:rsid w:val="002D6D2E"/>
    <w:rsid w:val="002D6E17"/>
    <w:rsid w:val="002D704A"/>
    <w:rsid w:val="002D710C"/>
    <w:rsid w:val="002D71C3"/>
    <w:rsid w:val="002D7521"/>
    <w:rsid w:val="002D7AF1"/>
    <w:rsid w:val="002D7C53"/>
    <w:rsid w:val="002D7D4B"/>
    <w:rsid w:val="002E02C7"/>
    <w:rsid w:val="002E0E08"/>
    <w:rsid w:val="002E0E1C"/>
    <w:rsid w:val="002E112A"/>
    <w:rsid w:val="002E11A5"/>
    <w:rsid w:val="002E1640"/>
    <w:rsid w:val="002E2853"/>
    <w:rsid w:val="002E2858"/>
    <w:rsid w:val="002E28C4"/>
    <w:rsid w:val="002E28EA"/>
    <w:rsid w:val="002E2B75"/>
    <w:rsid w:val="002E2BBA"/>
    <w:rsid w:val="002E380D"/>
    <w:rsid w:val="002E3890"/>
    <w:rsid w:val="002E3A31"/>
    <w:rsid w:val="002E3AF4"/>
    <w:rsid w:val="002E3CF1"/>
    <w:rsid w:val="002E3D26"/>
    <w:rsid w:val="002E440C"/>
    <w:rsid w:val="002E4C34"/>
    <w:rsid w:val="002E5192"/>
    <w:rsid w:val="002E5668"/>
    <w:rsid w:val="002E57FF"/>
    <w:rsid w:val="002E5A13"/>
    <w:rsid w:val="002E6085"/>
    <w:rsid w:val="002E6366"/>
    <w:rsid w:val="002E67DD"/>
    <w:rsid w:val="002E6801"/>
    <w:rsid w:val="002E681F"/>
    <w:rsid w:val="002E6D0F"/>
    <w:rsid w:val="002E6EEF"/>
    <w:rsid w:val="002E7677"/>
    <w:rsid w:val="002E7791"/>
    <w:rsid w:val="002F00FC"/>
    <w:rsid w:val="002F0249"/>
    <w:rsid w:val="002F0319"/>
    <w:rsid w:val="002F0366"/>
    <w:rsid w:val="002F048F"/>
    <w:rsid w:val="002F0633"/>
    <w:rsid w:val="002F073C"/>
    <w:rsid w:val="002F07BE"/>
    <w:rsid w:val="002F0E75"/>
    <w:rsid w:val="002F0F9E"/>
    <w:rsid w:val="002F1B2C"/>
    <w:rsid w:val="002F1BAA"/>
    <w:rsid w:val="002F1D21"/>
    <w:rsid w:val="002F2712"/>
    <w:rsid w:val="002F2BF6"/>
    <w:rsid w:val="002F2C17"/>
    <w:rsid w:val="002F339C"/>
    <w:rsid w:val="002F380D"/>
    <w:rsid w:val="002F389B"/>
    <w:rsid w:val="002F3A7C"/>
    <w:rsid w:val="002F3ACE"/>
    <w:rsid w:val="002F3D0E"/>
    <w:rsid w:val="002F3F52"/>
    <w:rsid w:val="002F40BB"/>
    <w:rsid w:val="002F4209"/>
    <w:rsid w:val="002F4442"/>
    <w:rsid w:val="002F487B"/>
    <w:rsid w:val="002F4B26"/>
    <w:rsid w:val="002F4B76"/>
    <w:rsid w:val="002F4DAC"/>
    <w:rsid w:val="002F5402"/>
    <w:rsid w:val="002F5672"/>
    <w:rsid w:val="002F5BA1"/>
    <w:rsid w:val="002F63E9"/>
    <w:rsid w:val="002F68C3"/>
    <w:rsid w:val="002F6E82"/>
    <w:rsid w:val="002F70E0"/>
    <w:rsid w:val="002F7124"/>
    <w:rsid w:val="002F794E"/>
    <w:rsid w:val="002F7D02"/>
    <w:rsid w:val="003000E8"/>
    <w:rsid w:val="00300D64"/>
    <w:rsid w:val="003015EF"/>
    <w:rsid w:val="00301764"/>
    <w:rsid w:val="00301A48"/>
    <w:rsid w:val="00301B57"/>
    <w:rsid w:val="00301C0F"/>
    <w:rsid w:val="00302881"/>
    <w:rsid w:val="003029B8"/>
    <w:rsid w:val="003029DE"/>
    <w:rsid w:val="00302C3A"/>
    <w:rsid w:val="00302F56"/>
    <w:rsid w:val="00303A13"/>
    <w:rsid w:val="00303D4E"/>
    <w:rsid w:val="00304337"/>
    <w:rsid w:val="00304415"/>
    <w:rsid w:val="003044FD"/>
    <w:rsid w:val="00304E05"/>
    <w:rsid w:val="0030569A"/>
    <w:rsid w:val="003061A9"/>
    <w:rsid w:val="0030653D"/>
    <w:rsid w:val="00307167"/>
    <w:rsid w:val="00310C9E"/>
    <w:rsid w:val="00311E43"/>
    <w:rsid w:val="00312651"/>
    <w:rsid w:val="003127A5"/>
    <w:rsid w:val="00312D4D"/>
    <w:rsid w:val="00312E28"/>
    <w:rsid w:val="00313511"/>
    <w:rsid w:val="003135D2"/>
    <w:rsid w:val="0031381E"/>
    <w:rsid w:val="003148D9"/>
    <w:rsid w:val="00314C52"/>
    <w:rsid w:val="00314C6D"/>
    <w:rsid w:val="00315030"/>
    <w:rsid w:val="00315132"/>
    <w:rsid w:val="003151A4"/>
    <w:rsid w:val="00315394"/>
    <w:rsid w:val="00315754"/>
    <w:rsid w:val="00315C87"/>
    <w:rsid w:val="00315E92"/>
    <w:rsid w:val="003164C5"/>
    <w:rsid w:val="00316A3B"/>
    <w:rsid w:val="0031705C"/>
    <w:rsid w:val="0031717A"/>
    <w:rsid w:val="00317399"/>
    <w:rsid w:val="003177B4"/>
    <w:rsid w:val="003177C8"/>
    <w:rsid w:val="00317856"/>
    <w:rsid w:val="0032005C"/>
    <w:rsid w:val="003202ED"/>
    <w:rsid w:val="00320BB4"/>
    <w:rsid w:val="00321079"/>
    <w:rsid w:val="003214FE"/>
    <w:rsid w:val="003219A9"/>
    <w:rsid w:val="00321A14"/>
    <w:rsid w:val="00321B98"/>
    <w:rsid w:val="00321DD0"/>
    <w:rsid w:val="00321E59"/>
    <w:rsid w:val="00321ED8"/>
    <w:rsid w:val="00322080"/>
    <w:rsid w:val="00322171"/>
    <w:rsid w:val="003221EE"/>
    <w:rsid w:val="003222F4"/>
    <w:rsid w:val="003228C0"/>
    <w:rsid w:val="00322B60"/>
    <w:rsid w:val="00322B6D"/>
    <w:rsid w:val="00322CF4"/>
    <w:rsid w:val="00323343"/>
    <w:rsid w:val="00323C15"/>
    <w:rsid w:val="003243D4"/>
    <w:rsid w:val="00324D9B"/>
    <w:rsid w:val="00324E77"/>
    <w:rsid w:val="00324F26"/>
    <w:rsid w:val="003250F2"/>
    <w:rsid w:val="00325A69"/>
    <w:rsid w:val="00325AD3"/>
    <w:rsid w:val="00325B5F"/>
    <w:rsid w:val="00325C74"/>
    <w:rsid w:val="00326271"/>
    <w:rsid w:val="00326359"/>
    <w:rsid w:val="00326861"/>
    <w:rsid w:val="003268CE"/>
    <w:rsid w:val="00326BCA"/>
    <w:rsid w:val="003277EA"/>
    <w:rsid w:val="003277EF"/>
    <w:rsid w:val="00327C01"/>
    <w:rsid w:val="00327C6D"/>
    <w:rsid w:val="003303F1"/>
    <w:rsid w:val="0033058C"/>
    <w:rsid w:val="0033060F"/>
    <w:rsid w:val="00330BD8"/>
    <w:rsid w:val="00331603"/>
    <w:rsid w:val="003319F0"/>
    <w:rsid w:val="00331F8F"/>
    <w:rsid w:val="003322DD"/>
    <w:rsid w:val="00332616"/>
    <w:rsid w:val="00332C59"/>
    <w:rsid w:val="003332E1"/>
    <w:rsid w:val="00333876"/>
    <w:rsid w:val="00333E6C"/>
    <w:rsid w:val="00333F42"/>
    <w:rsid w:val="00334247"/>
    <w:rsid w:val="003343C4"/>
    <w:rsid w:val="00334BD3"/>
    <w:rsid w:val="0033514D"/>
    <w:rsid w:val="003351D1"/>
    <w:rsid w:val="003358DF"/>
    <w:rsid w:val="0033596C"/>
    <w:rsid w:val="003359CC"/>
    <w:rsid w:val="00335DE2"/>
    <w:rsid w:val="00336031"/>
    <w:rsid w:val="0033606F"/>
    <w:rsid w:val="00336245"/>
    <w:rsid w:val="003362B2"/>
    <w:rsid w:val="003364E1"/>
    <w:rsid w:val="0033698A"/>
    <w:rsid w:val="00336A7F"/>
    <w:rsid w:val="00336DEB"/>
    <w:rsid w:val="00336F23"/>
    <w:rsid w:val="00336F45"/>
    <w:rsid w:val="00336FDC"/>
    <w:rsid w:val="00337012"/>
    <w:rsid w:val="0033705C"/>
    <w:rsid w:val="0033765F"/>
    <w:rsid w:val="00337BB7"/>
    <w:rsid w:val="00337CD5"/>
    <w:rsid w:val="003400EA"/>
    <w:rsid w:val="0034024E"/>
    <w:rsid w:val="00340754"/>
    <w:rsid w:val="00340946"/>
    <w:rsid w:val="0034131E"/>
    <w:rsid w:val="003416DB"/>
    <w:rsid w:val="003417E2"/>
    <w:rsid w:val="00341AAE"/>
    <w:rsid w:val="0034260F"/>
    <w:rsid w:val="00342B53"/>
    <w:rsid w:val="00342C0F"/>
    <w:rsid w:val="00342CA9"/>
    <w:rsid w:val="003430CE"/>
    <w:rsid w:val="003433B2"/>
    <w:rsid w:val="00343438"/>
    <w:rsid w:val="0034369F"/>
    <w:rsid w:val="0034373A"/>
    <w:rsid w:val="00343824"/>
    <w:rsid w:val="00343883"/>
    <w:rsid w:val="00343986"/>
    <w:rsid w:val="00343AB7"/>
    <w:rsid w:val="00343E38"/>
    <w:rsid w:val="00343EBD"/>
    <w:rsid w:val="003441FE"/>
    <w:rsid w:val="00344758"/>
    <w:rsid w:val="003447AF"/>
    <w:rsid w:val="00344B26"/>
    <w:rsid w:val="003453B1"/>
    <w:rsid w:val="003458ED"/>
    <w:rsid w:val="00345E56"/>
    <w:rsid w:val="0034610D"/>
    <w:rsid w:val="00346914"/>
    <w:rsid w:val="00347552"/>
    <w:rsid w:val="0034759E"/>
    <w:rsid w:val="00347A56"/>
    <w:rsid w:val="00347F09"/>
    <w:rsid w:val="00347F78"/>
    <w:rsid w:val="00350128"/>
    <w:rsid w:val="0035035E"/>
    <w:rsid w:val="00350577"/>
    <w:rsid w:val="00350671"/>
    <w:rsid w:val="003509AF"/>
    <w:rsid w:val="00350AF9"/>
    <w:rsid w:val="00350C08"/>
    <w:rsid w:val="00350F6A"/>
    <w:rsid w:val="00350FA0"/>
    <w:rsid w:val="003516CB"/>
    <w:rsid w:val="00351A0E"/>
    <w:rsid w:val="00351CAF"/>
    <w:rsid w:val="0035224D"/>
    <w:rsid w:val="00352338"/>
    <w:rsid w:val="00352442"/>
    <w:rsid w:val="003527AD"/>
    <w:rsid w:val="00352A70"/>
    <w:rsid w:val="00352D61"/>
    <w:rsid w:val="00352F9D"/>
    <w:rsid w:val="003530DA"/>
    <w:rsid w:val="00353738"/>
    <w:rsid w:val="00353905"/>
    <w:rsid w:val="00353D92"/>
    <w:rsid w:val="00353E61"/>
    <w:rsid w:val="003541C9"/>
    <w:rsid w:val="00354767"/>
    <w:rsid w:val="00354DE0"/>
    <w:rsid w:val="00354FAB"/>
    <w:rsid w:val="00355DCC"/>
    <w:rsid w:val="00355E76"/>
    <w:rsid w:val="00355F23"/>
    <w:rsid w:val="00356008"/>
    <w:rsid w:val="0035606B"/>
    <w:rsid w:val="00356A44"/>
    <w:rsid w:val="00356D4A"/>
    <w:rsid w:val="00356ECD"/>
    <w:rsid w:val="00357112"/>
    <w:rsid w:val="00357466"/>
    <w:rsid w:val="00357EF6"/>
    <w:rsid w:val="00360219"/>
    <w:rsid w:val="00360359"/>
    <w:rsid w:val="003603CB"/>
    <w:rsid w:val="0036046F"/>
    <w:rsid w:val="0036057D"/>
    <w:rsid w:val="003605CF"/>
    <w:rsid w:val="00360640"/>
    <w:rsid w:val="00360971"/>
    <w:rsid w:val="00361475"/>
    <w:rsid w:val="003614E2"/>
    <w:rsid w:val="00361974"/>
    <w:rsid w:val="00361A94"/>
    <w:rsid w:val="00361FE1"/>
    <w:rsid w:val="00362068"/>
    <w:rsid w:val="0036326E"/>
    <w:rsid w:val="003636D2"/>
    <w:rsid w:val="003637E3"/>
    <w:rsid w:val="00363A4F"/>
    <w:rsid w:val="00363AF1"/>
    <w:rsid w:val="00363C23"/>
    <w:rsid w:val="00363FC9"/>
    <w:rsid w:val="00364313"/>
    <w:rsid w:val="0036521F"/>
    <w:rsid w:val="003655C3"/>
    <w:rsid w:val="0036599B"/>
    <w:rsid w:val="00366057"/>
    <w:rsid w:val="00366160"/>
    <w:rsid w:val="0036658E"/>
    <w:rsid w:val="00366755"/>
    <w:rsid w:val="00366EA5"/>
    <w:rsid w:val="00367185"/>
    <w:rsid w:val="00367B4E"/>
    <w:rsid w:val="00367BA4"/>
    <w:rsid w:val="00367D16"/>
    <w:rsid w:val="003700BD"/>
    <w:rsid w:val="003707A6"/>
    <w:rsid w:val="0037099F"/>
    <w:rsid w:val="00370AC1"/>
    <w:rsid w:val="00370D41"/>
    <w:rsid w:val="0037106E"/>
    <w:rsid w:val="00371B84"/>
    <w:rsid w:val="00371E73"/>
    <w:rsid w:val="00371F11"/>
    <w:rsid w:val="003725B7"/>
    <w:rsid w:val="0037294A"/>
    <w:rsid w:val="0037296B"/>
    <w:rsid w:val="003729FA"/>
    <w:rsid w:val="00373287"/>
    <w:rsid w:val="003732E9"/>
    <w:rsid w:val="003734F1"/>
    <w:rsid w:val="00373672"/>
    <w:rsid w:val="0037374E"/>
    <w:rsid w:val="00373913"/>
    <w:rsid w:val="00373CAB"/>
    <w:rsid w:val="00373CF0"/>
    <w:rsid w:val="00374382"/>
    <w:rsid w:val="00374513"/>
    <w:rsid w:val="00374753"/>
    <w:rsid w:val="00374AAB"/>
    <w:rsid w:val="00374B5E"/>
    <w:rsid w:val="0037501D"/>
    <w:rsid w:val="003754D9"/>
    <w:rsid w:val="003756C5"/>
    <w:rsid w:val="0037591F"/>
    <w:rsid w:val="003759E2"/>
    <w:rsid w:val="00375A2D"/>
    <w:rsid w:val="00375D74"/>
    <w:rsid w:val="003764BA"/>
    <w:rsid w:val="00376661"/>
    <w:rsid w:val="003772B3"/>
    <w:rsid w:val="00377887"/>
    <w:rsid w:val="00377C10"/>
    <w:rsid w:val="0038027F"/>
    <w:rsid w:val="003802FD"/>
    <w:rsid w:val="0038031A"/>
    <w:rsid w:val="0038044D"/>
    <w:rsid w:val="00380F5C"/>
    <w:rsid w:val="00381035"/>
    <w:rsid w:val="00381199"/>
    <w:rsid w:val="003814A1"/>
    <w:rsid w:val="003815EF"/>
    <w:rsid w:val="00381803"/>
    <w:rsid w:val="00381976"/>
    <w:rsid w:val="00381B40"/>
    <w:rsid w:val="00381B73"/>
    <w:rsid w:val="003820A9"/>
    <w:rsid w:val="00382270"/>
    <w:rsid w:val="00382278"/>
    <w:rsid w:val="0038243F"/>
    <w:rsid w:val="00382766"/>
    <w:rsid w:val="00382A93"/>
    <w:rsid w:val="00382AE6"/>
    <w:rsid w:val="00382DC5"/>
    <w:rsid w:val="00382E38"/>
    <w:rsid w:val="003831EE"/>
    <w:rsid w:val="00383264"/>
    <w:rsid w:val="00383338"/>
    <w:rsid w:val="0038344C"/>
    <w:rsid w:val="0038432A"/>
    <w:rsid w:val="00384841"/>
    <w:rsid w:val="00384B32"/>
    <w:rsid w:val="00384DCA"/>
    <w:rsid w:val="003853D3"/>
    <w:rsid w:val="003854DA"/>
    <w:rsid w:val="00385570"/>
    <w:rsid w:val="00385747"/>
    <w:rsid w:val="003858C5"/>
    <w:rsid w:val="00385A0B"/>
    <w:rsid w:val="00385E58"/>
    <w:rsid w:val="00385F42"/>
    <w:rsid w:val="003863D4"/>
    <w:rsid w:val="00386411"/>
    <w:rsid w:val="00386655"/>
    <w:rsid w:val="0038697D"/>
    <w:rsid w:val="00386E7A"/>
    <w:rsid w:val="00390100"/>
    <w:rsid w:val="0039059E"/>
    <w:rsid w:val="00390B43"/>
    <w:rsid w:val="00390CA0"/>
    <w:rsid w:val="00390CF4"/>
    <w:rsid w:val="00390EC8"/>
    <w:rsid w:val="00391306"/>
    <w:rsid w:val="003915D4"/>
    <w:rsid w:val="003919F0"/>
    <w:rsid w:val="00391BC0"/>
    <w:rsid w:val="003921FE"/>
    <w:rsid w:val="003923EB"/>
    <w:rsid w:val="003924D5"/>
    <w:rsid w:val="003926BF"/>
    <w:rsid w:val="0039277B"/>
    <w:rsid w:val="003927B9"/>
    <w:rsid w:val="003928ED"/>
    <w:rsid w:val="00392ACB"/>
    <w:rsid w:val="00392AD7"/>
    <w:rsid w:val="00392D5A"/>
    <w:rsid w:val="00392E1F"/>
    <w:rsid w:val="00392FBC"/>
    <w:rsid w:val="00393580"/>
    <w:rsid w:val="00393871"/>
    <w:rsid w:val="0039426D"/>
    <w:rsid w:val="00394621"/>
    <w:rsid w:val="00394655"/>
    <w:rsid w:val="003949E9"/>
    <w:rsid w:val="00394A28"/>
    <w:rsid w:val="00394DE1"/>
    <w:rsid w:val="00394E2E"/>
    <w:rsid w:val="00394FF2"/>
    <w:rsid w:val="00395561"/>
    <w:rsid w:val="003955D9"/>
    <w:rsid w:val="003957A2"/>
    <w:rsid w:val="00395E23"/>
    <w:rsid w:val="00395E6B"/>
    <w:rsid w:val="003965EE"/>
    <w:rsid w:val="003967A2"/>
    <w:rsid w:val="0039697C"/>
    <w:rsid w:val="00396C8B"/>
    <w:rsid w:val="00396CB1"/>
    <w:rsid w:val="00396E56"/>
    <w:rsid w:val="0039708E"/>
    <w:rsid w:val="0039762A"/>
    <w:rsid w:val="00397C2C"/>
    <w:rsid w:val="00397D78"/>
    <w:rsid w:val="00397F88"/>
    <w:rsid w:val="003A01B0"/>
    <w:rsid w:val="003A04DD"/>
    <w:rsid w:val="003A06BF"/>
    <w:rsid w:val="003A15C6"/>
    <w:rsid w:val="003A2313"/>
    <w:rsid w:val="003A2D27"/>
    <w:rsid w:val="003A2D9D"/>
    <w:rsid w:val="003A3387"/>
    <w:rsid w:val="003A3487"/>
    <w:rsid w:val="003A4408"/>
    <w:rsid w:val="003A4614"/>
    <w:rsid w:val="003A4865"/>
    <w:rsid w:val="003A5268"/>
    <w:rsid w:val="003A53D8"/>
    <w:rsid w:val="003A58DD"/>
    <w:rsid w:val="003A5B81"/>
    <w:rsid w:val="003A6181"/>
    <w:rsid w:val="003A61B2"/>
    <w:rsid w:val="003A63EC"/>
    <w:rsid w:val="003A645E"/>
    <w:rsid w:val="003A6878"/>
    <w:rsid w:val="003A68F9"/>
    <w:rsid w:val="003A722C"/>
    <w:rsid w:val="003A736B"/>
    <w:rsid w:val="003B0617"/>
    <w:rsid w:val="003B0AA2"/>
    <w:rsid w:val="003B0E97"/>
    <w:rsid w:val="003B118E"/>
    <w:rsid w:val="003B2D19"/>
    <w:rsid w:val="003B36E9"/>
    <w:rsid w:val="003B3E34"/>
    <w:rsid w:val="003B3F38"/>
    <w:rsid w:val="003B4317"/>
    <w:rsid w:val="003B48AB"/>
    <w:rsid w:val="003B498B"/>
    <w:rsid w:val="003B4B7E"/>
    <w:rsid w:val="003B5444"/>
    <w:rsid w:val="003B589E"/>
    <w:rsid w:val="003B5F38"/>
    <w:rsid w:val="003B616F"/>
    <w:rsid w:val="003B6411"/>
    <w:rsid w:val="003B6737"/>
    <w:rsid w:val="003B70C4"/>
    <w:rsid w:val="003B743C"/>
    <w:rsid w:val="003B7457"/>
    <w:rsid w:val="003B76F8"/>
    <w:rsid w:val="003B7BCA"/>
    <w:rsid w:val="003B7F17"/>
    <w:rsid w:val="003C0208"/>
    <w:rsid w:val="003C043E"/>
    <w:rsid w:val="003C11A8"/>
    <w:rsid w:val="003C1292"/>
    <w:rsid w:val="003C1952"/>
    <w:rsid w:val="003C1A1B"/>
    <w:rsid w:val="003C1DF1"/>
    <w:rsid w:val="003C29FC"/>
    <w:rsid w:val="003C2AC9"/>
    <w:rsid w:val="003C2B4F"/>
    <w:rsid w:val="003C333E"/>
    <w:rsid w:val="003C39FD"/>
    <w:rsid w:val="003C3C3F"/>
    <w:rsid w:val="003C4072"/>
    <w:rsid w:val="003C4412"/>
    <w:rsid w:val="003C4708"/>
    <w:rsid w:val="003C47B1"/>
    <w:rsid w:val="003C4968"/>
    <w:rsid w:val="003C4B35"/>
    <w:rsid w:val="003C4D80"/>
    <w:rsid w:val="003C4F3D"/>
    <w:rsid w:val="003C57D1"/>
    <w:rsid w:val="003C5A28"/>
    <w:rsid w:val="003C5B35"/>
    <w:rsid w:val="003C5F26"/>
    <w:rsid w:val="003C5F5F"/>
    <w:rsid w:val="003C6412"/>
    <w:rsid w:val="003C65AC"/>
    <w:rsid w:val="003C665A"/>
    <w:rsid w:val="003C7080"/>
    <w:rsid w:val="003C7A74"/>
    <w:rsid w:val="003C7E5A"/>
    <w:rsid w:val="003C7E79"/>
    <w:rsid w:val="003D07C8"/>
    <w:rsid w:val="003D07ED"/>
    <w:rsid w:val="003D0994"/>
    <w:rsid w:val="003D0A5F"/>
    <w:rsid w:val="003D0EA6"/>
    <w:rsid w:val="003D1074"/>
    <w:rsid w:val="003D1666"/>
    <w:rsid w:val="003D1EB8"/>
    <w:rsid w:val="003D2272"/>
    <w:rsid w:val="003D2A60"/>
    <w:rsid w:val="003D2F5E"/>
    <w:rsid w:val="003D314B"/>
    <w:rsid w:val="003D3334"/>
    <w:rsid w:val="003D37DB"/>
    <w:rsid w:val="003D3C00"/>
    <w:rsid w:val="003D4015"/>
    <w:rsid w:val="003D4450"/>
    <w:rsid w:val="003D455D"/>
    <w:rsid w:val="003D496C"/>
    <w:rsid w:val="003D570A"/>
    <w:rsid w:val="003D677C"/>
    <w:rsid w:val="003D6C8D"/>
    <w:rsid w:val="003D6CA4"/>
    <w:rsid w:val="003D73D2"/>
    <w:rsid w:val="003D7475"/>
    <w:rsid w:val="003D7658"/>
    <w:rsid w:val="003D76F5"/>
    <w:rsid w:val="003D79A7"/>
    <w:rsid w:val="003E0119"/>
    <w:rsid w:val="003E0A45"/>
    <w:rsid w:val="003E115C"/>
    <w:rsid w:val="003E118A"/>
    <w:rsid w:val="003E151F"/>
    <w:rsid w:val="003E16D8"/>
    <w:rsid w:val="003E1907"/>
    <w:rsid w:val="003E1FE8"/>
    <w:rsid w:val="003E23F5"/>
    <w:rsid w:val="003E2895"/>
    <w:rsid w:val="003E2977"/>
    <w:rsid w:val="003E344D"/>
    <w:rsid w:val="003E3528"/>
    <w:rsid w:val="003E3616"/>
    <w:rsid w:val="003E3B8B"/>
    <w:rsid w:val="003E3BFE"/>
    <w:rsid w:val="003E4218"/>
    <w:rsid w:val="003E4366"/>
    <w:rsid w:val="003E4B85"/>
    <w:rsid w:val="003E5454"/>
    <w:rsid w:val="003E55F7"/>
    <w:rsid w:val="003E58BC"/>
    <w:rsid w:val="003E60C4"/>
    <w:rsid w:val="003E6195"/>
    <w:rsid w:val="003E6386"/>
    <w:rsid w:val="003E65FD"/>
    <w:rsid w:val="003E69AC"/>
    <w:rsid w:val="003E6DF2"/>
    <w:rsid w:val="003E6E27"/>
    <w:rsid w:val="003E72A0"/>
    <w:rsid w:val="003E77E8"/>
    <w:rsid w:val="003E791D"/>
    <w:rsid w:val="003E7939"/>
    <w:rsid w:val="003F014B"/>
    <w:rsid w:val="003F033A"/>
    <w:rsid w:val="003F0409"/>
    <w:rsid w:val="003F0664"/>
    <w:rsid w:val="003F0BE6"/>
    <w:rsid w:val="003F0DCA"/>
    <w:rsid w:val="003F1524"/>
    <w:rsid w:val="003F161C"/>
    <w:rsid w:val="003F167D"/>
    <w:rsid w:val="003F17F0"/>
    <w:rsid w:val="003F1D64"/>
    <w:rsid w:val="003F2409"/>
    <w:rsid w:val="003F2542"/>
    <w:rsid w:val="003F269D"/>
    <w:rsid w:val="003F2DA7"/>
    <w:rsid w:val="003F2E28"/>
    <w:rsid w:val="003F2EE6"/>
    <w:rsid w:val="003F323C"/>
    <w:rsid w:val="003F37F1"/>
    <w:rsid w:val="003F3CE9"/>
    <w:rsid w:val="003F4D8A"/>
    <w:rsid w:val="003F58A3"/>
    <w:rsid w:val="003F5E37"/>
    <w:rsid w:val="003F5FB2"/>
    <w:rsid w:val="003F6203"/>
    <w:rsid w:val="003F652A"/>
    <w:rsid w:val="003F65A2"/>
    <w:rsid w:val="003F66D2"/>
    <w:rsid w:val="003F675B"/>
    <w:rsid w:val="003F684F"/>
    <w:rsid w:val="003F6891"/>
    <w:rsid w:val="003F6AE3"/>
    <w:rsid w:val="003F6E2B"/>
    <w:rsid w:val="003F7171"/>
    <w:rsid w:val="003F7802"/>
    <w:rsid w:val="003F79D9"/>
    <w:rsid w:val="003F7AE8"/>
    <w:rsid w:val="003F7D5A"/>
    <w:rsid w:val="003F7EB9"/>
    <w:rsid w:val="003FF5CF"/>
    <w:rsid w:val="004004C4"/>
    <w:rsid w:val="00400518"/>
    <w:rsid w:val="004009EE"/>
    <w:rsid w:val="00400C07"/>
    <w:rsid w:val="00401337"/>
    <w:rsid w:val="004014B7"/>
    <w:rsid w:val="004017D7"/>
    <w:rsid w:val="00401916"/>
    <w:rsid w:val="00401B28"/>
    <w:rsid w:val="00401F1D"/>
    <w:rsid w:val="004029D6"/>
    <w:rsid w:val="00402F84"/>
    <w:rsid w:val="00403B66"/>
    <w:rsid w:val="00404002"/>
    <w:rsid w:val="00404035"/>
    <w:rsid w:val="00404157"/>
    <w:rsid w:val="0040469F"/>
    <w:rsid w:val="00404A5D"/>
    <w:rsid w:val="0040561D"/>
    <w:rsid w:val="004059BD"/>
    <w:rsid w:val="004059F6"/>
    <w:rsid w:val="00405DE9"/>
    <w:rsid w:val="00406139"/>
    <w:rsid w:val="0040619C"/>
    <w:rsid w:val="00406214"/>
    <w:rsid w:val="004065A6"/>
    <w:rsid w:val="0040678C"/>
    <w:rsid w:val="00406967"/>
    <w:rsid w:val="00406A40"/>
    <w:rsid w:val="00406BC7"/>
    <w:rsid w:val="004074E6"/>
    <w:rsid w:val="004076DB"/>
    <w:rsid w:val="004076F3"/>
    <w:rsid w:val="004077C9"/>
    <w:rsid w:val="00407959"/>
    <w:rsid w:val="0040796A"/>
    <w:rsid w:val="00407AF3"/>
    <w:rsid w:val="0041006C"/>
    <w:rsid w:val="00410F86"/>
    <w:rsid w:val="004112A6"/>
    <w:rsid w:val="00411ADB"/>
    <w:rsid w:val="004121D6"/>
    <w:rsid w:val="004123D9"/>
    <w:rsid w:val="00412586"/>
    <w:rsid w:val="00412698"/>
    <w:rsid w:val="00412D30"/>
    <w:rsid w:val="00413184"/>
    <w:rsid w:val="00413885"/>
    <w:rsid w:val="00413CB0"/>
    <w:rsid w:val="00414A04"/>
    <w:rsid w:val="00414BFB"/>
    <w:rsid w:val="00414E97"/>
    <w:rsid w:val="00414F19"/>
    <w:rsid w:val="004150DA"/>
    <w:rsid w:val="004152B0"/>
    <w:rsid w:val="00415385"/>
    <w:rsid w:val="004153D3"/>
    <w:rsid w:val="004158BF"/>
    <w:rsid w:val="00415D51"/>
    <w:rsid w:val="004168B0"/>
    <w:rsid w:val="00416C2C"/>
    <w:rsid w:val="004172DE"/>
    <w:rsid w:val="004178BF"/>
    <w:rsid w:val="00417ADB"/>
    <w:rsid w:val="00417DBD"/>
    <w:rsid w:val="00417E11"/>
    <w:rsid w:val="00417F6C"/>
    <w:rsid w:val="00420119"/>
    <w:rsid w:val="00420167"/>
    <w:rsid w:val="0042048D"/>
    <w:rsid w:val="00420F6F"/>
    <w:rsid w:val="0042146B"/>
    <w:rsid w:val="00421792"/>
    <w:rsid w:val="00421886"/>
    <w:rsid w:val="00422061"/>
    <w:rsid w:val="004222C7"/>
    <w:rsid w:val="004222F7"/>
    <w:rsid w:val="0042243F"/>
    <w:rsid w:val="00422505"/>
    <w:rsid w:val="00422796"/>
    <w:rsid w:val="0042279B"/>
    <w:rsid w:val="00422B69"/>
    <w:rsid w:val="00422C43"/>
    <w:rsid w:val="00423382"/>
    <w:rsid w:val="004233E1"/>
    <w:rsid w:val="0042341F"/>
    <w:rsid w:val="0042359F"/>
    <w:rsid w:val="00423B93"/>
    <w:rsid w:val="00424260"/>
    <w:rsid w:val="0042494E"/>
    <w:rsid w:val="00424ED6"/>
    <w:rsid w:val="00425173"/>
    <w:rsid w:val="004253AE"/>
    <w:rsid w:val="00425484"/>
    <w:rsid w:val="00425CA2"/>
    <w:rsid w:val="00425DB4"/>
    <w:rsid w:val="00426122"/>
    <w:rsid w:val="004264D2"/>
    <w:rsid w:val="004265F4"/>
    <w:rsid w:val="00426765"/>
    <w:rsid w:val="0042676C"/>
    <w:rsid w:val="00426B7D"/>
    <w:rsid w:val="00426C30"/>
    <w:rsid w:val="00426D48"/>
    <w:rsid w:val="00426E4C"/>
    <w:rsid w:val="0042700C"/>
    <w:rsid w:val="0042727D"/>
    <w:rsid w:val="00427338"/>
    <w:rsid w:val="004274A2"/>
    <w:rsid w:val="004276B2"/>
    <w:rsid w:val="00427867"/>
    <w:rsid w:val="00427ECE"/>
    <w:rsid w:val="0043014F"/>
    <w:rsid w:val="00430443"/>
    <w:rsid w:val="00430611"/>
    <w:rsid w:val="00430B9C"/>
    <w:rsid w:val="00430FAD"/>
    <w:rsid w:val="004315CA"/>
    <w:rsid w:val="0043183E"/>
    <w:rsid w:val="0043184B"/>
    <w:rsid w:val="00431964"/>
    <w:rsid w:val="004319D2"/>
    <w:rsid w:val="00431B5A"/>
    <w:rsid w:val="00431B66"/>
    <w:rsid w:val="00432195"/>
    <w:rsid w:val="004325EC"/>
    <w:rsid w:val="0043271A"/>
    <w:rsid w:val="00432809"/>
    <w:rsid w:val="00432A1B"/>
    <w:rsid w:val="00432B19"/>
    <w:rsid w:val="00432C3C"/>
    <w:rsid w:val="00432DEE"/>
    <w:rsid w:val="00432E79"/>
    <w:rsid w:val="00433417"/>
    <w:rsid w:val="00433928"/>
    <w:rsid w:val="004339B5"/>
    <w:rsid w:val="00433EC8"/>
    <w:rsid w:val="00434061"/>
    <w:rsid w:val="00434612"/>
    <w:rsid w:val="004346FA"/>
    <w:rsid w:val="00434E1F"/>
    <w:rsid w:val="004350CB"/>
    <w:rsid w:val="004353DD"/>
    <w:rsid w:val="004359C0"/>
    <w:rsid w:val="00435EDB"/>
    <w:rsid w:val="004361CC"/>
    <w:rsid w:val="0043621E"/>
    <w:rsid w:val="00436CDE"/>
    <w:rsid w:val="00437343"/>
    <w:rsid w:val="0043761F"/>
    <w:rsid w:val="00437C25"/>
    <w:rsid w:val="00437D00"/>
    <w:rsid w:val="00437D12"/>
    <w:rsid w:val="00440DE9"/>
    <w:rsid w:val="0044109E"/>
    <w:rsid w:val="00441460"/>
    <w:rsid w:val="00441465"/>
    <w:rsid w:val="00441851"/>
    <w:rsid w:val="00442116"/>
    <w:rsid w:val="0044231D"/>
    <w:rsid w:val="0044280D"/>
    <w:rsid w:val="00442916"/>
    <w:rsid w:val="00442CE4"/>
    <w:rsid w:val="00442D3E"/>
    <w:rsid w:val="00442FFF"/>
    <w:rsid w:val="0044341B"/>
    <w:rsid w:val="00443642"/>
    <w:rsid w:val="00443759"/>
    <w:rsid w:val="004437B8"/>
    <w:rsid w:val="004439D0"/>
    <w:rsid w:val="004440C1"/>
    <w:rsid w:val="0044444C"/>
    <w:rsid w:val="004446CC"/>
    <w:rsid w:val="004447D1"/>
    <w:rsid w:val="00444DAF"/>
    <w:rsid w:val="00445346"/>
    <w:rsid w:val="004453AA"/>
    <w:rsid w:val="004457FF"/>
    <w:rsid w:val="00445BA4"/>
    <w:rsid w:val="00445BCA"/>
    <w:rsid w:val="00445DEF"/>
    <w:rsid w:val="00446B59"/>
    <w:rsid w:val="00447200"/>
    <w:rsid w:val="00447588"/>
    <w:rsid w:val="004477D4"/>
    <w:rsid w:val="00450536"/>
    <w:rsid w:val="00450750"/>
    <w:rsid w:val="0045075D"/>
    <w:rsid w:val="00450A01"/>
    <w:rsid w:val="00450BDB"/>
    <w:rsid w:val="00450E0A"/>
    <w:rsid w:val="00451041"/>
    <w:rsid w:val="004517F8"/>
    <w:rsid w:val="00451821"/>
    <w:rsid w:val="004519E5"/>
    <w:rsid w:val="004519ED"/>
    <w:rsid w:val="0045207C"/>
    <w:rsid w:val="0045239C"/>
    <w:rsid w:val="00452599"/>
    <w:rsid w:val="00452C48"/>
    <w:rsid w:val="00453200"/>
    <w:rsid w:val="004535A1"/>
    <w:rsid w:val="00453832"/>
    <w:rsid w:val="004538DC"/>
    <w:rsid w:val="00453CE9"/>
    <w:rsid w:val="004543ED"/>
    <w:rsid w:val="0045472D"/>
    <w:rsid w:val="004553A7"/>
    <w:rsid w:val="004559AF"/>
    <w:rsid w:val="00455A4E"/>
    <w:rsid w:val="00455BB1"/>
    <w:rsid w:val="00456061"/>
    <w:rsid w:val="004562EC"/>
    <w:rsid w:val="004575A8"/>
    <w:rsid w:val="004579A6"/>
    <w:rsid w:val="00457B2F"/>
    <w:rsid w:val="00457C2A"/>
    <w:rsid w:val="00457CF5"/>
    <w:rsid w:val="00460AC5"/>
    <w:rsid w:val="00460B80"/>
    <w:rsid w:val="00460D3D"/>
    <w:rsid w:val="004617AA"/>
    <w:rsid w:val="00461A8C"/>
    <w:rsid w:val="00461D33"/>
    <w:rsid w:val="00461F4D"/>
    <w:rsid w:val="004623E5"/>
    <w:rsid w:val="004624B4"/>
    <w:rsid w:val="00462D7C"/>
    <w:rsid w:val="00462FC7"/>
    <w:rsid w:val="004633C9"/>
    <w:rsid w:val="00464515"/>
    <w:rsid w:val="00464977"/>
    <w:rsid w:val="00464BEA"/>
    <w:rsid w:val="00465481"/>
    <w:rsid w:val="004654F8"/>
    <w:rsid w:val="004658AC"/>
    <w:rsid w:val="00465DD1"/>
    <w:rsid w:val="0046601F"/>
    <w:rsid w:val="0046649A"/>
    <w:rsid w:val="00466E40"/>
    <w:rsid w:val="00466FDB"/>
    <w:rsid w:val="004671C9"/>
    <w:rsid w:val="004672FE"/>
    <w:rsid w:val="00467908"/>
    <w:rsid w:val="00467928"/>
    <w:rsid w:val="00467B5E"/>
    <w:rsid w:val="00470090"/>
    <w:rsid w:val="00470173"/>
    <w:rsid w:val="0047077E"/>
    <w:rsid w:val="004709A4"/>
    <w:rsid w:val="004711A9"/>
    <w:rsid w:val="0047151F"/>
    <w:rsid w:val="00471732"/>
    <w:rsid w:val="00471C60"/>
    <w:rsid w:val="00471D5E"/>
    <w:rsid w:val="00472083"/>
    <w:rsid w:val="00472A7A"/>
    <w:rsid w:val="00472AF6"/>
    <w:rsid w:val="00473592"/>
    <w:rsid w:val="00473700"/>
    <w:rsid w:val="00473A8A"/>
    <w:rsid w:val="00474434"/>
    <w:rsid w:val="004748D9"/>
    <w:rsid w:val="00474B77"/>
    <w:rsid w:val="00474CBF"/>
    <w:rsid w:val="00475200"/>
    <w:rsid w:val="004753D0"/>
    <w:rsid w:val="00475970"/>
    <w:rsid w:val="00475EA4"/>
    <w:rsid w:val="00475F92"/>
    <w:rsid w:val="00475FE1"/>
    <w:rsid w:val="00476154"/>
    <w:rsid w:val="00476176"/>
    <w:rsid w:val="004761F8"/>
    <w:rsid w:val="004763C7"/>
    <w:rsid w:val="00476659"/>
    <w:rsid w:val="00476705"/>
    <w:rsid w:val="00476CDA"/>
    <w:rsid w:val="00476FDA"/>
    <w:rsid w:val="00476FDD"/>
    <w:rsid w:val="00477945"/>
    <w:rsid w:val="00477964"/>
    <w:rsid w:val="004779F0"/>
    <w:rsid w:val="00477B04"/>
    <w:rsid w:val="00477B1F"/>
    <w:rsid w:val="00477BE4"/>
    <w:rsid w:val="00477CB4"/>
    <w:rsid w:val="00477E0C"/>
    <w:rsid w:val="00477E86"/>
    <w:rsid w:val="00480210"/>
    <w:rsid w:val="00480347"/>
    <w:rsid w:val="00480AA4"/>
    <w:rsid w:val="00480BA5"/>
    <w:rsid w:val="00480BE2"/>
    <w:rsid w:val="00480ECC"/>
    <w:rsid w:val="004810AC"/>
    <w:rsid w:val="00481309"/>
    <w:rsid w:val="00481820"/>
    <w:rsid w:val="00482091"/>
    <w:rsid w:val="00482238"/>
    <w:rsid w:val="00482337"/>
    <w:rsid w:val="00482775"/>
    <w:rsid w:val="00482D40"/>
    <w:rsid w:val="00482EE6"/>
    <w:rsid w:val="0048358B"/>
    <w:rsid w:val="00483C05"/>
    <w:rsid w:val="004843E9"/>
    <w:rsid w:val="0048468D"/>
    <w:rsid w:val="004852B1"/>
    <w:rsid w:val="004853FB"/>
    <w:rsid w:val="0048549A"/>
    <w:rsid w:val="004855F6"/>
    <w:rsid w:val="004858AD"/>
    <w:rsid w:val="00485EA9"/>
    <w:rsid w:val="00485FD6"/>
    <w:rsid w:val="00486125"/>
    <w:rsid w:val="00486A83"/>
    <w:rsid w:val="004870AF"/>
    <w:rsid w:val="0048713B"/>
    <w:rsid w:val="004871E5"/>
    <w:rsid w:val="00487BF1"/>
    <w:rsid w:val="004906B3"/>
    <w:rsid w:val="004907D9"/>
    <w:rsid w:val="00490927"/>
    <w:rsid w:val="00490B7E"/>
    <w:rsid w:val="00490B87"/>
    <w:rsid w:val="00490EA8"/>
    <w:rsid w:val="00490F1C"/>
    <w:rsid w:val="004914A6"/>
    <w:rsid w:val="00492147"/>
    <w:rsid w:val="00492F87"/>
    <w:rsid w:val="004930E9"/>
    <w:rsid w:val="004938FF"/>
    <w:rsid w:val="0049490D"/>
    <w:rsid w:val="004955B3"/>
    <w:rsid w:val="00495782"/>
    <w:rsid w:val="00495F7B"/>
    <w:rsid w:val="00495FB5"/>
    <w:rsid w:val="004960BC"/>
    <w:rsid w:val="00496361"/>
    <w:rsid w:val="004964DD"/>
    <w:rsid w:val="00496FBF"/>
    <w:rsid w:val="004970C2"/>
    <w:rsid w:val="0049774B"/>
    <w:rsid w:val="00497846"/>
    <w:rsid w:val="00497B5D"/>
    <w:rsid w:val="00497C32"/>
    <w:rsid w:val="00497D0C"/>
    <w:rsid w:val="00497F30"/>
    <w:rsid w:val="00497F47"/>
    <w:rsid w:val="004A01C8"/>
    <w:rsid w:val="004A01F7"/>
    <w:rsid w:val="004A050E"/>
    <w:rsid w:val="004A054B"/>
    <w:rsid w:val="004A05B8"/>
    <w:rsid w:val="004A0BF7"/>
    <w:rsid w:val="004A0CE3"/>
    <w:rsid w:val="004A0CE5"/>
    <w:rsid w:val="004A16C1"/>
    <w:rsid w:val="004A16DD"/>
    <w:rsid w:val="004A223C"/>
    <w:rsid w:val="004A296B"/>
    <w:rsid w:val="004A34AA"/>
    <w:rsid w:val="004A350B"/>
    <w:rsid w:val="004A4430"/>
    <w:rsid w:val="004A4702"/>
    <w:rsid w:val="004A49D1"/>
    <w:rsid w:val="004A4AA3"/>
    <w:rsid w:val="004A4D7E"/>
    <w:rsid w:val="004A4E9B"/>
    <w:rsid w:val="004A4F5F"/>
    <w:rsid w:val="004A5897"/>
    <w:rsid w:val="004A58FB"/>
    <w:rsid w:val="004A5DAE"/>
    <w:rsid w:val="004A6034"/>
    <w:rsid w:val="004A6114"/>
    <w:rsid w:val="004A61D2"/>
    <w:rsid w:val="004A6844"/>
    <w:rsid w:val="004A6D37"/>
    <w:rsid w:val="004A73ED"/>
    <w:rsid w:val="004A77C2"/>
    <w:rsid w:val="004A77CA"/>
    <w:rsid w:val="004B0426"/>
    <w:rsid w:val="004B067B"/>
    <w:rsid w:val="004B101F"/>
    <w:rsid w:val="004B13D1"/>
    <w:rsid w:val="004B13EA"/>
    <w:rsid w:val="004B1A0A"/>
    <w:rsid w:val="004B1BAA"/>
    <w:rsid w:val="004B1F7D"/>
    <w:rsid w:val="004B2310"/>
    <w:rsid w:val="004B2334"/>
    <w:rsid w:val="004B249C"/>
    <w:rsid w:val="004B2830"/>
    <w:rsid w:val="004B286E"/>
    <w:rsid w:val="004B29D9"/>
    <w:rsid w:val="004B2BAE"/>
    <w:rsid w:val="004B339D"/>
    <w:rsid w:val="004B3517"/>
    <w:rsid w:val="004B369E"/>
    <w:rsid w:val="004B36A9"/>
    <w:rsid w:val="004B3FCC"/>
    <w:rsid w:val="004B44A6"/>
    <w:rsid w:val="004B44E0"/>
    <w:rsid w:val="004B457B"/>
    <w:rsid w:val="004B46D5"/>
    <w:rsid w:val="004B48BF"/>
    <w:rsid w:val="004B4EA0"/>
    <w:rsid w:val="004B5224"/>
    <w:rsid w:val="004B59CB"/>
    <w:rsid w:val="004B5AC9"/>
    <w:rsid w:val="004B5D0E"/>
    <w:rsid w:val="004B5F28"/>
    <w:rsid w:val="004B6E49"/>
    <w:rsid w:val="004B6F2A"/>
    <w:rsid w:val="004B70B8"/>
    <w:rsid w:val="004B74D9"/>
    <w:rsid w:val="004B76EC"/>
    <w:rsid w:val="004B77C4"/>
    <w:rsid w:val="004B7883"/>
    <w:rsid w:val="004B7A38"/>
    <w:rsid w:val="004B7A7C"/>
    <w:rsid w:val="004C01D9"/>
    <w:rsid w:val="004C03BB"/>
    <w:rsid w:val="004C0444"/>
    <w:rsid w:val="004C0801"/>
    <w:rsid w:val="004C0E53"/>
    <w:rsid w:val="004C0F57"/>
    <w:rsid w:val="004C15BD"/>
    <w:rsid w:val="004C1621"/>
    <w:rsid w:val="004C1B93"/>
    <w:rsid w:val="004C1C4F"/>
    <w:rsid w:val="004C1E41"/>
    <w:rsid w:val="004C2053"/>
    <w:rsid w:val="004C21E4"/>
    <w:rsid w:val="004C2476"/>
    <w:rsid w:val="004C24AD"/>
    <w:rsid w:val="004C2AC9"/>
    <w:rsid w:val="004C2C31"/>
    <w:rsid w:val="004C2F9D"/>
    <w:rsid w:val="004C36F3"/>
    <w:rsid w:val="004C3CA5"/>
    <w:rsid w:val="004C43A1"/>
    <w:rsid w:val="004C4C0C"/>
    <w:rsid w:val="004C5452"/>
    <w:rsid w:val="004C54D1"/>
    <w:rsid w:val="004C58E6"/>
    <w:rsid w:val="004C5BEC"/>
    <w:rsid w:val="004C627C"/>
    <w:rsid w:val="004C65B0"/>
    <w:rsid w:val="004C6D64"/>
    <w:rsid w:val="004C7630"/>
    <w:rsid w:val="004C765D"/>
    <w:rsid w:val="004C7D03"/>
    <w:rsid w:val="004C7F64"/>
    <w:rsid w:val="004D0520"/>
    <w:rsid w:val="004D1C18"/>
    <w:rsid w:val="004D1E56"/>
    <w:rsid w:val="004D1E9D"/>
    <w:rsid w:val="004D229F"/>
    <w:rsid w:val="004D27D5"/>
    <w:rsid w:val="004D2B23"/>
    <w:rsid w:val="004D2EA2"/>
    <w:rsid w:val="004D36A3"/>
    <w:rsid w:val="004D379F"/>
    <w:rsid w:val="004D3800"/>
    <w:rsid w:val="004D3882"/>
    <w:rsid w:val="004D4506"/>
    <w:rsid w:val="004D483A"/>
    <w:rsid w:val="004D49CA"/>
    <w:rsid w:val="004D4A97"/>
    <w:rsid w:val="004D4AF4"/>
    <w:rsid w:val="004D4F4B"/>
    <w:rsid w:val="004D4FF2"/>
    <w:rsid w:val="004D532B"/>
    <w:rsid w:val="004D5427"/>
    <w:rsid w:val="004D5601"/>
    <w:rsid w:val="004D5BB5"/>
    <w:rsid w:val="004D5E2E"/>
    <w:rsid w:val="004D5FE0"/>
    <w:rsid w:val="004D6654"/>
    <w:rsid w:val="004D6A77"/>
    <w:rsid w:val="004D71A2"/>
    <w:rsid w:val="004D74BC"/>
    <w:rsid w:val="004D7599"/>
    <w:rsid w:val="004D7F21"/>
    <w:rsid w:val="004D7FCC"/>
    <w:rsid w:val="004D7FCD"/>
    <w:rsid w:val="004E00C6"/>
    <w:rsid w:val="004E025D"/>
    <w:rsid w:val="004E027F"/>
    <w:rsid w:val="004E07BA"/>
    <w:rsid w:val="004E0832"/>
    <w:rsid w:val="004E0B41"/>
    <w:rsid w:val="004E0D90"/>
    <w:rsid w:val="004E0DE8"/>
    <w:rsid w:val="004E1237"/>
    <w:rsid w:val="004E2125"/>
    <w:rsid w:val="004E2427"/>
    <w:rsid w:val="004E2633"/>
    <w:rsid w:val="004E2A63"/>
    <w:rsid w:val="004E30A1"/>
    <w:rsid w:val="004E3295"/>
    <w:rsid w:val="004E337E"/>
    <w:rsid w:val="004E33AE"/>
    <w:rsid w:val="004E3806"/>
    <w:rsid w:val="004E3947"/>
    <w:rsid w:val="004E3C4A"/>
    <w:rsid w:val="004E3CF6"/>
    <w:rsid w:val="004E3EE0"/>
    <w:rsid w:val="004E4644"/>
    <w:rsid w:val="004E47D3"/>
    <w:rsid w:val="004E48F1"/>
    <w:rsid w:val="004E4A0F"/>
    <w:rsid w:val="004E4B30"/>
    <w:rsid w:val="004E4CAB"/>
    <w:rsid w:val="004E522A"/>
    <w:rsid w:val="004E54AE"/>
    <w:rsid w:val="004E5921"/>
    <w:rsid w:val="004E5C88"/>
    <w:rsid w:val="004E5E24"/>
    <w:rsid w:val="004E5E89"/>
    <w:rsid w:val="004E66F4"/>
    <w:rsid w:val="004E6EC4"/>
    <w:rsid w:val="004E73EC"/>
    <w:rsid w:val="004E74B9"/>
    <w:rsid w:val="004E7CC7"/>
    <w:rsid w:val="004E7D4A"/>
    <w:rsid w:val="004E7E6D"/>
    <w:rsid w:val="004F0162"/>
    <w:rsid w:val="004F028C"/>
    <w:rsid w:val="004F047B"/>
    <w:rsid w:val="004F04F2"/>
    <w:rsid w:val="004F0736"/>
    <w:rsid w:val="004F07C9"/>
    <w:rsid w:val="004F0B88"/>
    <w:rsid w:val="004F0BD4"/>
    <w:rsid w:val="004F0DB7"/>
    <w:rsid w:val="004F0F8B"/>
    <w:rsid w:val="004F10F9"/>
    <w:rsid w:val="004F12BC"/>
    <w:rsid w:val="004F134E"/>
    <w:rsid w:val="004F18A4"/>
    <w:rsid w:val="004F2106"/>
    <w:rsid w:val="004F23AD"/>
    <w:rsid w:val="004F24FA"/>
    <w:rsid w:val="004F28C3"/>
    <w:rsid w:val="004F2B90"/>
    <w:rsid w:val="004F39BD"/>
    <w:rsid w:val="004F3BAA"/>
    <w:rsid w:val="004F3DF8"/>
    <w:rsid w:val="004F3E29"/>
    <w:rsid w:val="004F407D"/>
    <w:rsid w:val="004F42B2"/>
    <w:rsid w:val="004F452F"/>
    <w:rsid w:val="004F51A2"/>
    <w:rsid w:val="004F51BC"/>
    <w:rsid w:val="004F53FF"/>
    <w:rsid w:val="004F5476"/>
    <w:rsid w:val="004F58B6"/>
    <w:rsid w:val="004F59A8"/>
    <w:rsid w:val="004F639F"/>
    <w:rsid w:val="004F752D"/>
    <w:rsid w:val="004F78E4"/>
    <w:rsid w:val="004F7C99"/>
    <w:rsid w:val="004F7D63"/>
    <w:rsid w:val="005003A8"/>
    <w:rsid w:val="0050041A"/>
    <w:rsid w:val="0050102A"/>
    <w:rsid w:val="005016E8"/>
    <w:rsid w:val="00501C62"/>
    <w:rsid w:val="00501CB3"/>
    <w:rsid w:val="00501D28"/>
    <w:rsid w:val="00501F03"/>
    <w:rsid w:val="005020FF"/>
    <w:rsid w:val="0050267E"/>
    <w:rsid w:val="00502815"/>
    <w:rsid w:val="005029E5"/>
    <w:rsid w:val="00502D9F"/>
    <w:rsid w:val="00502DA7"/>
    <w:rsid w:val="005030A1"/>
    <w:rsid w:val="005030A5"/>
    <w:rsid w:val="005030B4"/>
    <w:rsid w:val="00503101"/>
    <w:rsid w:val="0050330E"/>
    <w:rsid w:val="0050359B"/>
    <w:rsid w:val="0050367C"/>
    <w:rsid w:val="005039CC"/>
    <w:rsid w:val="00503AAF"/>
    <w:rsid w:val="005041DB"/>
    <w:rsid w:val="00504259"/>
    <w:rsid w:val="005044B7"/>
    <w:rsid w:val="005048AC"/>
    <w:rsid w:val="00504B3F"/>
    <w:rsid w:val="0050566B"/>
    <w:rsid w:val="00506628"/>
    <w:rsid w:val="00506F2F"/>
    <w:rsid w:val="00507832"/>
    <w:rsid w:val="00507961"/>
    <w:rsid w:val="00507BB3"/>
    <w:rsid w:val="00507FA1"/>
    <w:rsid w:val="005100BC"/>
    <w:rsid w:val="005100BD"/>
    <w:rsid w:val="00510146"/>
    <w:rsid w:val="005103F9"/>
    <w:rsid w:val="0051092A"/>
    <w:rsid w:val="00510DE7"/>
    <w:rsid w:val="00510F18"/>
    <w:rsid w:val="00510F23"/>
    <w:rsid w:val="0051101F"/>
    <w:rsid w:val="005110BC"/>
    <w:rsid w:val="005113F1"/>
    <w:rsid w:val="00511947"/>
    <w:rsid w:val="00511C91"/>
    <w:rsid w:val="005122CF"/>
    <w:rsid w:val="005124BC"/>
    <w:rsid w:val="0051280D"/>
    <w:rsid w:val="00512FAF"/>
    <w:rsid w:val="00513A55"/>
    <w:rsid w:val="00513F47"/>
    <w:rsid w:val="00513F9F"/>
    <w:rsid w:val="0051430E"/>
    <w:rsid w:val="0051442A"/>
    <w:rsid w:val="005144D0"/>
    <w:rsid w:val="005146C7"/>
    <w:rsid w:val="00514762"/>
    <w:rsid w:val="00515B43"/>
    <w:rsid w:val="00515CD6"/>
    <w:rsid w:val="00516B6C"/>
    <w:rsid w:val="00516C05"/>
    <w:rsid w:val="00516C45"/>
    <w:rsid w:val="00517219"/>
    <w:rsid w:val="0051762C"/>
    <w:rsid w:val="005205FA"/>
    <w:rsid w:val="0052085B"/>
    <w:rsid w:val="00521365"/>
    <w:rsid w:val="0052193F"/>
    <w:rsid w:val="00521AC6"/>
    <w:rsid w:val="00521B38"/>
    <w:rsid w:val="00521B91"/>
    <w:rsid w:val="00521CCB"/>
    <w:rsid w:val="00521D68"/>
    <w:rsid w:val="00521F5C"/>
    <w:rsid w:val="005221A5"/>
    <w:rsid w:val="0052250C"/>
    <w:rsid w:val="00522607"/>
    <w:rsid w:val="005228F8"/>
    <w:rsid w:val="00522A2F"/>
    <w:rsid w:val="00522CAC"/>
    <w:rsid w:val="00522EEA"/>
    <w:rsid w:val="00523B8F"/>
    <w:rsid w:val="00523CCA"/>
    <w:rsid w:val="00523D5E"/>
    <w:rsid w:val="00523F08"/>
    <w:rsid w:val="0052431C"/>
    <w:rsid w:val="005243FA"/>
    <w:rsid w:val="005247C0"/>
    <w:rsid w:val="00524B5E"/>
    <w:rsid w:val="00525389"/>
    <w:rsid w:val="00525727"/>
    <w:rsid w:val="00525C94"/>
    <w:rsid w:val="00525F96"/>
    <w:rsid w:val="00526082"/>
    <w:rsid w:val="005262CA"/>
    <w:rsid w:val="005263DB"/>
    <w:rsid w:val="00526652"/>
    <w:rsid w:val="005266B0"/>
    <w:rsid w:val="0052674B"/>
    <w:rsid w:val="00526822"/>
    <w:rsid w:val="00526F88"/>
    <w:rsid w:val="00527132"/>
    <w:rsid w:val="005277C6"/>
    <w:rsid w:val="005279AB"/>
    <w:rsid w:val="00527A5F"/>
    <w:rsid w:val="00530B18"/>
    <w:rsid w:val="00530B3F"/>
    <w:rsid w:val="0053122F"/>
    <w:rsid w:val="0053152C"/>
    <w:rsid w:val="00531705"/>
    <w:rsid w:val="00531B32"/>
    <w:rsid w:val="00531CCE"/>
    <w:rsid w:val="005320B6"/>
    <w:rsid w:val="005323BF"/>
    <w:rsid w:val="00532408"/>
    <w:rsid w:val="00532449"/>
    <w:rsid w:val="00532B9C"/>
    <w:rsid w:val="00532CB8"/>
    <w:rsid w:val="00532D74"/>
    <w:rsid w:val="00532DEA"/>
    <w:rsid w:val="00532E3E"/>
    <w:rsid w:val="005330AD"/>
    <w:rsid w:val="0053338A"/>
    <w:rsid w:val="00533450"/>
    <w:rsid w:val="0053351F"/>
    <w:rsid w:val="00533C53"/>
    <w:rsid w:val="0053449C"/>
    <w:rsid w:val="00534751"/>
    <w:rsid w:val="005349D4"/>
    <w:rsid w:val="00534CFB"/>
    <w:rsid w:val="00535693"/>
    <w:rsid w:val="005356BD"/>
    <w:rsid w:val="00535E1B"/>
    <w:rsid w:val="00535FEB"/>
    <w:rsid w:val="005368F8"/>
    <w:rsid w:val="00536ED8"/>
    <w:rsid w:val="00537388"/>
    <w:rsid w:val="00537414"/>
    <w:rsid w:val="0053798A"/>
    <w:rsid w:val="00537A2A"/>
    <w:rsid w:val="00540A0F"/>
    <w:rsid w:val="00540BEC"/>
    <w:rsid w:val="00540C8A"/>
    <w:rsid w:val="00540C8F"/>
    <w:rsid w:val="0054151D"/>
    <w:rsid w:val="00541D2C"/>
    <w:rsid w:val="005424E2"/>
    <w:rsid w:val="00542868"/>
    <w:rsid w:val="00542A9B"/>
    <w:rsid w:val="00543016"/>
    <w:rsid w:val="00543B65"/>
    <w:rsid w:val="00543C7F"/>
    <w:rsid w:val="00544245"/>
    <w:rsid w:val="00544503"/>
    <w:rsid w:val="005447EE"/>
    <w:rsid w:val="00544FBA"/>
    <w:rsid w:val="00545086"/>
    <w:rsid w:val="005450A5"/>
    <w:rsid w:val="00545A0D"/>
    <w:rsid w:val="005463F1"/>
    <w:rsid w:val="0054699D"/>
    <w:rsid w:val="00546CE1"/>
    <w:rsid w:val="00547629"/>
    <w:rsid w:val="00547AA5"/>
    <w:rsid w:val="00547ABC"/>
    <w:rsid w:val="00547D48"/>
    <w:rsid w:val="00547F58"/>
    <w:rsid w:val="00550320"/>
    <w:rsid w:val="0055054D"/>
    <w:rsid w:val="00550969"/>
    <w:rsid w:val="00550F7C"/>
    <w:rsid w:val="00551152"/>
    <w:rsid w:val="005512D4"/>
    <w:rsid w:val="0055169E"/>
    <w:rsid w:val="005518B8"/>
    <w:rsid w:val="00551BD7"/>
    <w:rsid w:val="00551D1F"/>
    <w:rsid w:val="00551E88"/>
    <w:rsid w:val="0055208F"/>
    <w:rsid w:val="0055237F"/>
    <w:rsid w:val="0055243F"/>
    <w:rsid w:val="00552681"/>
    <w:rsid w:val="005528DB"/>
    <w:rsid w:val="00552A7A"/>
    <w:rsid w:val="00552A8A"/>
    <w:rsid w:val="00552AAD"/>
    <w:rsid w:val="005530FB"/>
    <w:rsid w:val="00553409"/>
    <w:rsid w:val="00553628"/>
    <w:rsid w:val="005537E8"/>
    <w:rsid w:val="005538AB"/>
    <w:rsid w:val="0055450C"/>
    <w:rsid w:val="00554BE4"/>
    <w:rsid w:val="00554C04"/>
    <w:rsid w:val="00554C17"/>
    <w:rsid w:val="00554DB1"/>
    <w:rsid w:val="00555682"/>
    <w:rsid w:val="00555A9A"/>
    <w:rsid w:val="00555AB6"/>
    <w:rsid w:val="00556541"/>
    <w:rsid w:val="00556F2C"/>
    <w:rsid w:val="00557006"/>
    <w:rsid w:val="005574B6"/>
    <w:rsid w:val="005574FB"/>
    <w:rsid w:val="005579CA"/>
    <w:rsid w:val="00557A3C"/>
    <w:rsid w:val="00557AD6"/>
    <w:rsid w:val="00557DCA"/>
    <w:rsid w:val="00557EAC"/>
    <w:rsid w:val="0056006C"/>
    <w:rsid w:val="005600F8"/>
    <w:rsid w:val="005610C1"/>
    <w:rsid w:val="00561396"/>
    <w:rsid w:val="0056157D"/>
    <w:rsid w:val="005617CF"/>
    <w:rsid w:val="00561BE5"/>
    <w:rsid w:val="00561F40"/>
    <w:rsid w:val="005625D0"/>
    <w:rsid w:val="00562FA7"/>
    <w:rsid w:val="00563596"/>
    <w:rsid w:val="00563AD1"/>
    <w:rsid w:val="00563EB7"/>
    <w:rsid w:val="00563F62"/>
    <w:rsid w:val="00563F69"/>
    <w:rsid w:val="00564164"/>
    <w:rsid w:val="00564441"/>
    <w:rsid w:val="005648EF"/>
    <w:rsid w:val="00564CA6"/>
    <w:rsid w:val="00564EAE"/>
    <w:rsid w:val="00565321"/>
    <w:rsid w:val="00565326"/>
    <w:rsid w:val="0056539C"/>
    <w:rsid w:val="00565920"/>
    <w:rsid w:val="00565A50"/>
    <w:rsid w:val="00565DFD"/>
    <w:rsid w:val="005664AA"/>
    <w:rsid w:val="0056654F"/>
    <w:rsid w:val="0056658A"/>
    <w:rsid w:val="005666EB"/>
    <w:rsid w:val="00566C42"/>
    <w:rsid w:val="00566CFE"/>
    <w:rsid w:val="00566F06"/>
    <w:rsid w:val="00567A0B"/>
    <w:rsid w:val="00567C75"/>
    <w:rsid w:val="00567FC9"/>
    <w:rsid w:val="00570C98"/>
    <w:rsid w:val="00570E82"/>
    <w:rsid w:val="005711CE"/>
    <w:rsid w:val="005718DF"/>
    <w:rsid w:val="00571CE1"/>
    <w:rsid w:val="00571E47"/>
    <w:rsid w:val="00571E5F"/>
    <w:rsid w:val="005724A5"/>
    <w:rsid w:val="00572781"/>
    <w:rsid w:val="0057279A"/>
    <w:rsid w:val="00573085"/>
    <w:rsid w:val="005730BF"/>
    <w:rsid w:val="00573223"/>
    <w:rsid w:val="0057325A"/>
    <w:rsid w:val="00573B11"/>
    <w:rsid w:val="00573D3A"/>
    <w:rsid w:val="00573DD5"/>
    <w:rsid w:val="00573E97"/>
    <w:rsid w:val="00573F17"/>
    <w:rsid w:val="005740B0"/>
    <w:rsid w:val="005741B0"/>
    <w:rsid w:val="005748BA"/>
    <w:rsid w:val="00574A2E"/>
    <w:rsid w:val="00574C34"/>
    <w:rsid w:val="0057508B"/>
    <w:rsid w:val="00575361"/>
    <w:rsid w:val="00575692"/>
    <w:rsid w:val="00575816"/>
    <w:rsid w:val="0057588F"/>
    <w:rsid w:val="00576218"/>
    <w:rsid w:val="00576281"/>
    <w:rsid w:val="00576EFA"/>
    <w:rsid w:val="00576FFE"/>
    <w:rsid w:val="00577181"/>
    <w:rsid w:val="00577325"/>
    <w:rsid w:val="00580928"/>
    <w:rsid w:val="0058102A"/>
    <w:rsid w:val="005810A3"/>
    <w:rsid w:val="005812BE"/>
    <w:rsid w:val="005814CE"/>
    <w:rsid w:val="005816E1"/>
    <w:rsid w:val="005818DD"/>
    <w:rsid w:val="00581D23"/>
    <w:rsid w:val="005824AC"/>
    <w:rsid w:val="00582586"/>
    <w:rsid w:val="00582828"/>
    <w:rsid w:val="0058313C"/>
    <w:rsid w:val="0058336C"/>
    <w:rsid w:val="005833F9"/>
    <w:rsid w:val="005836C6"/>
    <w:rsid w:val="005838F8"/>
    <w:rsid w:val="00583C19"/>
    <w:rsid w:val="0058408C"/>
    <w:rsid w:val="0058431A"/>
    <w:rsid w:val="00584361"/>
    <w:rsid w:val="00584444"/>
    <w:rsid w:val="0058444A"/>
    <w:rsid w:val="00584533"/>
    <w:rsid w:val="005845D6"/>
    <w:rsid w:val="005853F8"/>
    <w:rsid w:val="0058580E"/>
    <w:rsid w:val="00585F89"/>
    <w:rsid w:val="00586528"/>
    <w:rsid w:val="00586786"/>
    <w:rsid w:val="005869A1"/>
    <w:rsid w:val="00586E67"/>
    <w:rsid w:val="00587203"/>
    <w:rsid w:val="00587726"/>
    <w:rsid w:val="00587BF8"/>
    <w:rsid w:val="00587D33"/>
    <w:rsid w:val="005901C6"/>
    <w:rsid w:val="005906A3"/>
    <w:rsid w:val="005906A8"/>
    <w:rsid w:val="00590D35"/>
    <w:rsid w:val="005916EA"/>
    <w:rsid w:val="00591804"/>
    <w:rsid w:val="00592AE4"/>
    <w:rsid w:val="00592B9C"/>
    <w:rsid w:val="00592D08"/>
    <w:rsid w:val="00592ED1"/>
    <w:rsid w:val="005933D5"/>
    <w:rsid w:val="00593519"/>
    <w:rsid w:val="0059375D"/>
    <w:rsid w:val="00593DF4"/>
    <w:rsid w:val="00594836"/>
    <w:rsid w:val="00594C77"/>
    <w:rsid w:val="005957B9"/>
    <w:rsid w:val="00595CBA"/>
    <w:rsid w:val="00595EFE"/>
    <w:rsid w:val="00595FB6"/>
    <w:rsid w:val="005963D8"/>
    <w:rsid w:val="00596641"/>
    <w:rsid w:val="00596FCA"/>
    <w:rsid w:val="00597019"/>
    <w:rsid w:val="00597751"/>
    <w:rsid w:val="00597C91"/>
    <w:rsid w:val="005A0023"/>
    <w:rsid w:val="005A022F"/>
    <w:rsid w:val="005A043B"/>
    <w:rsid w:val="005A0B35"/>
    <w:rsid w:val="005A0B88"/>
    <w:rsid w:val="005A1258"/>
    <w:rsid w:val="005A15FE"/>
    <w:rsid w:val="005A1A65"/>
    <w:rsid w:val="005A1C51"/>
    <w:rsid w:val="005A1C7C"/>
    <w:rsid w:val="005A224F"/>
    <w:rsid w:val="005A2512"/>
    <w:rsid w:val="005A2572"/>
    <w:rsid w:val="005A2A49"/>
    <w:rsid w:val="005A2F04"/>
    <w:rsid w:val="005A316A"/>
    <w:rsid w:val="005A350C"/>
    <w:rsid w:val="005A39CB"/>
    <w:rsid w:val="005A3A92"/>
    <w:rsid w:val="005A3B44"/>
    <w:rsid w:val="005A3E81"/>
    <w:rsid w:val="005A4700"/>
    <w:rsid w:val="005A5190"/>
    <w:rsid w:val="005A572D"/>
    <w:rsid w:val="005A5B7C"/>
    <w:rsid w:val="005A5BA0"/>
    <w:rsid w:val="005A5C9A"/>
    <w:rsid w:val="005A5CAB"/>
    <w:rsid w:val="005A6256"/>
    <w:rsid w:val="005A62CC"/>
    <w:rsid w:val="005A676E"/>
    <w:rsid w:val="005A6FDD"/>
    <w:rsid w:val="005A7666"/>
    <w:rsid w:val="005A7DDF"/>
    <w:rsid w:val="005B03BF"/>
    <w:rsid w:val="005B07A9"/>
    <w:rsid w:val="005B0B7B"/>
    <w:rsid w:val="005B0D0C"/>
    <w:rsid w:val="005B0FF5"/>
    <w:rsid w:val="005B10A7"/>
    <w:rsid w:val="005B1305"/>
    <w:rsid w:val="005B1536"/>
    <w:rsid w:val="005B15A9"/>
    <w:rsid w:val="005B1CA0"/>
    <w:rsid w:val="005B23DC"/>
    <w:rsid w:val="005B262F"/>
    <w:rsid w:val="005B26BF"/>
    <w:rsid w:val="005B4174"/>
    <w:rsid w:val="005B41ED"/>
    <w:rsid w:val="005B439F"/>
    <w:rsid w:val="005B457A"/>
    <w:rsid w:val="005B4D29"/>
    <w:rsid w:val="005B4F52"/>
    <w:rsid w:val="005B51F3"/>
    <w:rsid w:val="005B5763"/>
    <w:rsid w:val="005B6BB6"/>
    <w:rsid w:val="005B77B2"/>
    <w:rsid w:val="005B7913"/>
    <w:rsid w:val="005B7998"/>
    <w:rsid w:val="005B7E8A"/>
    <w:rsid w:val="005C0782"/>
    <w:rsid w:val="005C08FA"/>
    <w:rsid w:val="005C0927"/>
    <w:rsid w:val="005C093D"/>
    <w:rsid w:val="005C0D57"/>
    <w:rsid w:val="005C0EB2"/>
    <w:rsid w:val="005C0EBF"/>
    <w:rsid w:val="005C1A76"/>
    <w:rsid w:val="005C1DB7"/>
    <w:rsid w:val="005C2341"/>
    <w:rsid w:val="005C23E8"/>
    <w:rsid w:val="005C2499"/>
    <w:rsid w:val="005C306B"/>
    <w:rsid w:val="005C3136"/>
    <w:rsid w:val="005C342E"/>
    <w:rsid w:val="005C437E"/>
    <w:rsid w:val="005C4886"/>
    <w:rsid w:val="005C4CE9"/>
    <w:rsid w:val="005C4E7A"/>
    <w:rsid w:val="005C50AB"/>
    <w:rsid w:val="005C530C"/>
    <w:rsid w:val="005C5988"/>
    <w:rsid w:val="005C5E50"/>
    <w:rsid w:val="005C6173"/>
    <w:rsid w:val="005C61F8"/>
    <w:rsid w:val="005C63E8"/>
    <w:rsid w:val="005C6421"/>
    <w:rsid w:val="005C6468"/>
    <w:rsid w:val="005C68B7"/>
    <w:rsid w:val="005C693B"/>
    <w:rsid w:val="005C69D2"/>
    <w:rsid w:val="005C6C2E"/>
    <w:rsid w:val="005C707C"/>
    <w:rsid w:val="005C7F86"/>
    <w:rsid w:val="005D02D5"/>
    <w:rsid w:val="005D04C3"/>
    <w:rsid w:val="005D0BC6"/>
    <w:rsid w:val="005D0C11"/>
    <w:rsid w:val="005D1EDA"/>
    <w:rsid w:val="005D2080"/>
    <w:rsid w:val="005D20DA"/>
    <w:rsid w:val="005D256A"/>
    <w:rsid w:val="005D2F07"/>
    <w:rsid w:val="005D31ED"/>
    <w:rsid w:val="005D34B6"/>
    <w:rsid w:val="005D35B1"/>
    <w:rsid w:val="005D3745"/>
    <w:rsid w:val="005D374E"/>
    <w:rsid w:val="005D3C1D"/>
    <w:rsid w:val="005D3F91"/>
    <w:rsid w:val="005D3FF3"/>
    <w:rsid w:val="005D4126"/>
    <w:rsid w:val="005D483F"/>
    <w:rsid w:val="005D4D18"/>
    <w:rsid w:val="005D5125"/>
    <w:rsid w:val="005D516C"/>
    <w:rsid w:val="005D582A"/>
    <w:rsid w:val="005D5F3A"/>
    <w:rsid w:val="005D637E"/>
    <w:rsid w:val="005D6A09"/>
    <w:rsid w:val="005D71B1"/>
    <w:rsid w:val="005D73FC"/>
    <w:rsid w:val="005E0125"/>
    <w:rsid w:val="005E06C4"/>
    <w:rsid w:val="005E0FC2"/>
    <w:rsid w:val="005E1088"/>
    <w:rsid w:val="005E17ED"/>
    <w:rsid w:val="005E1BBE"/>
    <w:rsid w:val="005E1FE4"/>
    <w:rsid w:val="005E206C"/>
    <w:rsid w:val="005E29B1"/>
    <w:rsid w:val="005E2CA7"/>
    <w:rsid w:val="005E32B8"/>
    <w:rsid w:val="005E32E3"/>
    <w:rsid w:val="005E3340"/>
    <w:rsid w:val="005E34F5"/>
    <w:rsid w:val="005E3634"/>
    <w:rsid w:val="005E3CD8"/>
    <w:rsid w:val="005E42AA"/>
    <w:rsid w:val="005E44DC"/>
    <w:rsid w:val="005E4678"/>
    <w:rsid w:val="005E46A3"/>
    <w:rsid w:val="005E5012"/>
    <w:rsid w:val="005E51B1"/>
    <w:rsid w:val="005E5505"/>
    <w:rsid w:val="005E5793"/>
    <w:rsid w:val="005E579E"/>
    <w:rsid w:val="005E5D50"/>
    <w:rsid w:val="005E5FBE"/>
    <w:rsid w:val="005E5FEB"/>
    <w:rsid w:val="005E6CC0"/>
    <w:rsid w:val="005E6F49"/>
    <w:rsid w:val="005E6F6A"/>
    <w:rsid w:val="005E7466"/>
    <w:rsid w:val="005E75B1"/>
    <w:rsid w:val="005E7674"/>
    <w:rsid w:val="005E78CB"/>
    <w:rsid w:val="005E7A13"/>
    <w:rsid w:val="005E7BF8"/>
    <w:rsid w:val="005E7C64"/>
    <w:rsid w:val="005F011E"/>
    <w:rsid w:val="005F0221"/>
    <w:rsid w:val="005F0233"/>
    <w:rsid w:val="005F04AF"/>
    <w:rsid w:val="005F05FA"/>
    <w:rsid w:val="005F06EC"/>
    <w:rsid w:val="005F0739"/>
    <w:rsid w:val="005F0A81"/>
    <w:rsid w:val="005F0DF8"/>
    <w:rsid w:val="005F0FFA"/>
    <w:rsid w:val="005F1193"/>
    <w:rsid w:val="005F12D7"/>
    <w:rsid w:val="005F14C2"/>
    <w:rsid w:val="005F15D2"/>
    <w:rsid w:val="005F1828"/>
    <w:rsid w:val="005F18EB"/>
    <w:rsid w:val="005F1A83"/>
    <w:rsid w:val="005F1CEC"/>
    <w:rsid w:val="005F2151"/>
    <w:rsid w:val="005F233B"/>
    <w:rsid w:val="005F2A1D"/>
    <w:rsid w:val="005F2AA3"/>
    <w:rsid w:val="005F35BC"/>
    <w:rsid w:val="005F3DE2"/>
    <w:rsid w:val="005F3EC7"/>
    <w:rsid w:val="005F40D0"/>
    <w:rsid w:val="005F43D6"/>
    <w:rsid w:val="005F447C"/>
    <w:rsid w:val="005F4494"/>
    <w:rsid w:val="005F464D"/>
    <w:rsid w:val="005F4812"/>
    <w:rsid w:val="005F48F1"/>
    <w:rsid w:val="005F4BBE"/>
    <w:rsid w:val="005F4D07"/>
    <w:rsid w:val="005F50E2"/>
    <w:rsid w:val="005F54F3"/>
    <w:rsid w:val="005F557E"/>
    <w:rsid w:val="005F56DA"/>
    <w:rsid w:val="005F5AFF"/>
    <w:rsid w:val="005F5DE1"/>
    <w:rsid w:val="005F5F77"/>
    <w:rsid w:val="005F5F93"/>
    <w:rsid w:val="005F647F"/>
    <w:rsid w:val="005F658D"/>
    <w:rsid w:val="005F668E"/>
    <w:rsid w:val="005F6B0B"/>
    <w:rsid w:val="005F6DEB"/>
    <w:rsid w:val="005F7048"/>
    <w:rsid w:val="005F7185"/>
    <w:rsid w:val="005F725D"/>
    <w:rsid w:val="005F751A"/>
    <w:rsid w:val="005F758E"/>
    <w:rsid w:val="005F7A54"/>
    <w:rsid w:val="006009AA"/>
    <w:rsid w:val="00600A0E"/>
    <w:rsid w:val="00600BAC"/>
    <w:rsid w:val="00600E0C"/>
    <w:rsid w:val="0060136D"/>
    <w:rsid w:val="0060139D"/>
    <w:rsid w:val="006019B9"/>
    <w:rsid w:val="00601BBF"/>
    <w:rsid w:val="00601BFA"/>
    <w:rsid w:val="00601C39"/>
    <w:rsid w:val="0060207F"/>
    <w:rsid w:val="006024C6"/>
    <w:rsid w:val="00602678"/>
    <w:rsid w:val="006028E5"/>
    <w:rsid w:val="0060295A"/>
    <w:rsid w:val="006033AD"/>
    <w:rsid w:val="006035C2"/>
    <w:rsid w:val="00603776"/>
    <w:rsid w:val="00603848"/>
    <w:rsid w:val="00604B05"/>
    <w:rsid w:val="00604B55"/>
    <w:rsid w:val="00604DCB"/>
    <w:rsid w:val="00605999"/>
    <w:rsid w:val="00605C1A"/>
    <w:rsid w:val="006062E9"/>
    <w:rsid w:val="00606762"/>
    <w:rsid w:val="00606E3B"/>
    <w:rsid w:val="00606E4F"/>
    <w:rsid w:val="006070D9"/>
    <w:rsid w:val="006071AF"/>
    <w:rsid w:val="006072E3"/>
    <w:rsid w:val="006074C5"/>
    <w:rsid w:val="006076F4"/>
    <w:rsid w:val="006077D4"/>
    <w:rsid w:val="00607E24"/>
    <w:rsid w:val="006102AC"/>
    <w:rsid w:val="00610813"/>
    <w:rsid w:val="00610834"/>
    <w:rsid w:val="00610D0B"/>
    <w:rsid w:val="00610D11"/>
    <w:rsid w:val="00610FC5"/>
    <w:rsid w:val="006110EB"/>
    <w:rsid w:val="006111EC"/>
    <w:rsid w:val="00611562"/>
    <w:rsid w:val="00611F52"/>
    <w:rsid w:val="00612096"/>
    <w:rsid w:val="006123CB"/>
    <w:rsid w:val="006128A9"/>
    <w:rsid w:val="00613413"/>
    <w:rsid w:val="00613515"/>
    <w:rsid w:val="00613D4D"/>
    <w:rsid w:val="00613EF9"/>
    <w:rsid w:val="00614163"/>
    <w:rsid w:val="0061448E"/>
    <w:rsid w:val="00614535"/>
    <w:rsid w:val="006145A6"/>
    <w:rsid w:val="006147D2"/>
    <w:rsid w:val="00614865"/>
    <w:rsid w:val="00614A2C"/>
    <w:rsid w:val="00614B6F"/>
    <w:rsid w:val="00615C6E"/>
    <w:rsid w:val="00615D85"/>
    <w:rsid w:val="00615DD8"/>
    <w:rsid w:val="0061600C"/>
    <w:rsid w:val="00616460"/>
    <w:rsid w:val="006164AD"/>
    <w:rsid w:val="00616C1B"/>
    <w:rsid w:val="00616F4E"/>
    <w:rsid w:val="00617C09"/>
    <w:rsid w:val="00617D04"/>
    <w:rsid w:val="006203C6"/>
    <w:rsid w:val="00620F10"/>
    <w:rsid w:val="006215C6"/>
    <w:rsid w:val="00621C33"/>
    <w:rsid w:val="00621E6E"/>
    <w:rsid w:val="006221EA"/>
    <w:rsid w:val="00622395"/>
    <w:rsid w:val="00622873"/>
    <w:rsid w:val="006229F3"/>
    <w:rsid w:val="00623027"/>
    <w:rsid w:val="0062336A"/>
    <w:rsid w:val="0062365C"/>
    <w:rsid w:val="006236DD"/>
    <w:rsid w:val="00623711"/>
    <w:rsid w:val="006241AD"/>
    <w:rsid w:val="006241F2"/>
    <w:rsid w:val="00624346"/>
    <w:rsid w:val="00624378"/>
    <w:rsid w:val="00624655"/>
    <w:rsid w:val="006248A5"/>
    <w:rsid w:val="00624A1C"/>
    <w:rsid w:val="00624A26"/>
    <w:rsid w:val="00624FF2"/>
    <w:rsid w:val="006258D7"/>
    <w:rsid w:val="00625905"/>
    <w:rsid w:val="006261D2"/>
    <w:rsid w:val="00626229"/>
    <w:rsid w:val="006262A9"/>
    <w:rsid w:val="006265F2"/>
    <w:rsid w:val="006266A1"/>
    <w:rsid w:val="00627AC3"/>
    <w:rsid w:val="00627C78"/>
    <w:rsid w:val="00627D4B"/>
    <w:rsid w:val="006300C1"/>
    <w:rsid w:val="0063036E"/>
    <w:rsid w:val="006305E0"/>
    <w:rsid w:val="00630635"/>
    <w:rsid w:val="0063071D"/>
    <w:rsid w:val="006310FF"/>
    <w:rsid w:val="006312E5"/>
    <w:rsid w:val="00631664"/>
    <w:rsid w:val="00631878"/>
    <w:rsid w:val="00631B42"/>
    <w:rsid w:val="00631B94"/>
    <w:rsid w:val="006320E4"/>
    <w:rsid w:val="00632994"/>
    <w:rsid w:val="00632A46"/>
    <w:rsid w:val="00632ACD"/>
    <w:rsid w:val="00632C25"/>
    <w:rsid w:val="006333A5"/>
    <w:rsid w:val="00633879"/>
    <w:rsid w:val="00633B0F"/>
    <w:rsid w:val="00633B52"/>
    <w:rsid w:val="00633C2D"/>
    <w:rsid w:val="00633C4C"/>
    <w:rsid w:val="00633E0E"/>
    <w:rsid w:val="0063412F"/>
    <w:rsid w:val="00634DD4"/>
    <w:rsid w:val="006350F9"/>
    <w:rsid w:val="00635327"/>
    <w:rsid w:val="00635D16"/>
    <w:rsid w:val="00636107"/>
    <w:rsid w:val="00636F9B"/>
    <w:rsid w:val="0063721B"/>
    <w:rsid w:val="00637445"/>
    <w:rsid w:val="006375A3"/>
    <w:rsid w:val="0063780B"/>
    <w:rsid w:val="00637999"/>
    <w:rsid w:val="00637D0D"/>
    <w:rsid w:val="00637D58"/>
    <w:rsid w:val="00637E71"/>
    <w:rsid w:val="0064007C"/>
    <w:rsid w:val="006401DD"/>
    <w:rsid w:val="0064047F"/>
    <w:rsid w:val="0064052A"/>
    <w:rsid w:val="006407FA"/>
    <w:rsid w:val="006408A6"/>
    <w:rsid w:val="00640970"/>
    <w:rsid w:val="00640E7C"/>
    <w:rsid w:val="00640FD9"/>
    <w:rsid w:val="0064196B"/>
    <w:rsid w:val="00641A6B"/>
    <w:rsid w:val="00641BA4"/>
    <w:rsid w:val="00642088"/>
    <w:rsid w:val="006420C2"/>
    <w:rsid w:val="006421BF"/>
    <w:rsid w:val="00642980"/>
    <w:rsid w:val="00642A4E"/>
    <w:rsid w:val="006432DD"/>
    <w:rsid w:val="0064374B"/>
    <w:rsid w:val="00643C8C"/>
    <w:rsid w:val="00643D91"/>
    <w:rsid w:val="00643ECD"/>
    <w:rsid w:val="00644206"/>
    <w:rsid w:val="0064463C"/>
    <w:rsid w:val="00644884"/>
    <w:rsid w:val="006448DA"/>
    <w:rsid w:val="00644939"/>
    <w:rsid w:val="00644FF0"/>
    <w:rsid w:val="00645069"/>
    <w:rsid w:val="006453B8"/>
    <w:rsid w:val="0064564F"/>
    <w:rsid w:val="006459B9"/>
    <w:rsid w:val="0064634E"/>
    <w:rsid w:val="0064665A"/>
    <w:rsid w:val="0064665F"/>
    <w:rsid w:val="006466AA"/>
    <w:rsid w:val="0064690A"/>
    <w:rsid w:val="00646ED0"/>
    <w:rsid w:val="006472F0"/>
    <w:rsid w:val="00647342"/>
    <w:rsid w:val="006473F5"/>
    <w:rsid w:val="006476A0"/>
    <w:rsid w:val="0064771C"/>
    <w:rsid w:val="0064777D"/>
    <w:rsid w:val="006478A4"/>
    <w:rsid w:val="00647CBD"/>
    <w:rsid w:val="00647FE4"/>
    <w:rsid w:val="0065008E"/>
    <w:rsid w:val="006504E7"/>
    <w:rsid w:val="006505FB"/>
    <w:rsid w:val="0065063C"/>
    <w:rsid w:val="00650854"/>
    <w:rsid w:val="00650926"/>
    <w:rsid w:val="00650D61"/>
    <w:rsid w:val="00650DE7"/>
    <w:rsid w:val="00650E15"/>
    <w:rsid w:val="00650EA6"/>
    <w:rsid w:val="00651137"/>
    <w:rsid w:val="00651324"/>
    <w:rsid w:val="006515D8"/>
    <w:rsid w:val="00651CA6"/>
    <w:rsid w:val="00651D1D"/>
    <w:rsid w:val="00651E25"/>
    <w:rsid w:val="00651E27"/>
    <w:rsid w:val="006521D8"/>
    <w:rsid w:val="00652561"/>
    <w:rsid w:val="00652584"/>
    <w:rsid w:val="00652C30"/>
    <w:rsid w:val="00652F75"/>
    <w:rsid w:val="00653171"/>
    <w:rsid w:val="00653279"/>
    <w:rsid w:val="006532C6"/>
    <w:rsid w:val="00653A4A"/>
    <w:rsid w:val="00653AA8"/>
    <w:rsid w:val="00653E20"/>
    <w:rsid w:val="00654D24"/>
    <w:rsid w:val="006554F3"/>
    <w:rsid w:val="0065579F"/>
    <w:rsid w:val="00655B32"/>
    <w:rsid w:val="0065623C"/>
    <w:rsid w:val="0065653A"/>
    <w:rsid w:val="00656582"/>
    <w:rsid w:val="00656596"/>
    <w:rsid w:val="00656F98"/>
    <w:rsid w:val="00657086"/>
    <w:rsid w:val="006577CA"/>
    <w:rsid w:val="006579AC"/>
    <w:rsid w:val="00660A6F"/>
    <w:rsid w:val="00660B17"/>
    <w:rsid w:val="00660C00"/>
    <w:rsid w:val="00660FDD"/>
    <w:rsid w:val="00661003"/>
    <w:rsid w:val="00661145"/>
    <w:rsid w:val="006615C1"/>
    <w:rsid w:val="006618B2"/>
    <w:rsid w:val="0066221B"/>
    <w:rsid w:val="00662AD9"/>
    <w:rsid w:val="00662E9D"/>
    <w:rsid w:val="00662FE7"/>
    <w:rsid w:val="00663429"/>
    <w:rsid w:val="006638AA"/>
    <w:rsid w:val="0066391B"/>
    <w:rsid w:val="006639AF"/>
    <w:rsid w:val="006639B2"/>
    <w:rsid w:val="00663E58"/>
    <w:rsid w:val="00663FAC"/>
    <w:rsid w:val="006643E4"/>
    <w:rsid w:val="00664663"/>
    <w:rsid w:val="0066493A"/>
    <w:rsid w:val="00665658"/>
    <w:rsid w:val="00665783"/>
    <w:rsid w:val="00665985"/>
    <w:rsid w:val="00665A84"/>
    <w:rsid w:val="00665DF0"/>
    <w:rsid w:val="006667AF"/>
    <w:rsid w:val="00666E4C"/>
    <w:rsid w:val="006671D6"/>
    <w:rsid w:val="0066769A"/>
    <w:rsid w:val="00667820"/>
    <w:rsid w:val="00667C6E"/>
    <w:rsid w:val="00670111"/>
    <w:rsid w:val="00670444"/>
    <w:rsid w:val="006706DD"/>
    <w:rsid w:val="00670A63"/>
    <w:rsid w:val="00670DAF"/>
    <w:rsid w:val="00670DB5"/>
    <w:rsid w:val="00670DEF"/>
    <w:rsid w:val="00670E19"/>
    <w:rsid w:val="00670E50"/>
    <w:rsid w:val="006710B5"/>
    <w:rsid w:val="00671847"/>
    <w:rsid w:val="00671A67"/>
    <w:rsid w:val="00671C72"/>
    <w:rsid w:val="00672111"/>
    <w:rsid w:val="006722CA"/>
    <w:rsid w:val="006723E6"/>
    <w:rsid w:val="0067256B"/>
    <w:rsid w:val="00672608"/>
    <w:rsid w:val="0067274A"/>
    <w:rsid w:val="006728B1"/>
    <w:rsid w:val="00672A29"/>
    <w:rsid w:val="00672C1C"/>
    <w:rsid w:val="00673024"/>
    <w:rsid w:val="0067339D"/>
    <w:rsid w:val="006733D8"/>
    <w:rsid w:val="00673A9C"/>
    <w:rsid w:val="00673DAA"/>
    <w:rsid w:val="00674100"/>
    <w:rsid w:val="0067426C"/>
    <w:rsid w:val="00674574"/>
    <w:rsid w:val="00674959"/>
    <w:rsid w:val="00674A5A"/>
    <w:rsid w:val="00675398"/>
    <w:rsid w:val="006756D0"/>
    <w:rsid w:val="006767D5"/>
    <w:rsid w:val="00676B86"/>
    <w:rsid w:val="00677276"/>
    <w:rsid w:val="00677463"/>
    <w:rsid w:val="0067773F"/>
    <w:rsid w:val="00677B0F"/>
    <w:rsid w:val="00677BF0"/>
    <w:rsid w:val="00677F3B"/>
    <w:rsid w:val="0068024F"/>
    <w:rsid w:val="006805EB"/>
    <w:rsid w:val="00680776"/>
    <w:rsid w:val="00680A30"/>
    <w:rsid w:val="00681391"/>
    <w:rsid w:val="0068173A"/>
    <w:rsid w:val="00681B5A"/>
    <w:rsid w:val="00681C16"/>
    <w:rsid w:val="00681D78"/>
    <w:rsid w:val="0068204D"/>
    <w:rsid w:val="00682300"/>
    <w:rsid w:val="006824BD"/>
    <w:rsid w:val="00682534"/>
    <w:rsid w:val="0068253D"/>
    <w:rsid w:val="00682966"/>
    <w:rsid w:val="00682D74"/>
    <w:rsid w:val="006834B4"/>
    <w:rsid w:val="0068382E"/>
    <w:rsid w:val="00683BF1"/>
    <w:rsid w:val="00683CFA"/>
    <w:rsid w:val="006847EB"/>
    <w:rsid w:val="006849F8"/>
    <w:rsid w:val="0068547D"/>
    <w:rsid w:val="00685C8A"/>
    <w:rsid w:val="006864B9"/>
    <w:rsid w:val="00686CD0"/>
    <w:rsid w:val="0068715E"/>
    <w:rsid w:val="00690299"/>
    <w:rsid w:val="00690473"/>
    <w:rsid w:val="006906FF"/>
    <w:rsid w:val="006907C9"/>
    <w:rsid w:val="00690A7F"/>
    <w:rsid w:val="006917E7"/>
    <w:rsid w:val="00691E70"/>
    <w:rsid w:val="00692335"/>
    <w:rsid w:val="006924AD"/>
    <w:rsid w:val="006928E3"/>
    <w:rsid w:val="00692A2D"/>
    <w:rsid w:val="00692E52"/>
    <w:rsid w:val="00692E7A"/>
    <w:rsid w:val="00693092"/>
    <w:rsid w:val="006930A3"/>
    <w:rsid w:val="0069348B"/>
    <w:rsid w:val="00693F36"/>
    <w:rsid w:val="00694135"/>
    <w:rsid w:val="0069433C"/>
    <w:rsid w:val="0069456D"/>
    <w:rsid w:val="006946FA"/>
    <w:rsid w:val="00694C4D"/>
    <w:rsid w:val="006952E4"/>
    <w:rsid w:val="0069537C"/>
    <w:rsid w:val="00695384"/>
    <w:rsid w:val="0069575C"/>
    <w:rsid w:val="00695A8F"/>
    <w:rsid w:val="00695EAB"/>
    <w:rsid w:val="00696F74"/>
    <w:rsid w:val="006970B7"/>
    <w:rsid w:val="00697292"/>
    <w:rsid w:val="00697CCF"/>
    <w:rsid w:val="006A0005"/>
    <w:rsid w:val="006A0097"/>
    <w:rsid w:val="006A081A"/>
    <w:rsid w:val="006A0907"/>
    <w:rsid w:val="006A09BC"/>
    <w:rsid w:val="006A0B5B"/>
    <w:rsid w:val="006A0DD5"/>
    <w:rsid w:val="006A17DD"/>
    <w:rsid w:val="006A1A9D"/>
    <w:rsid w:val="006A2514"/>
    <w:rsid w:val="006A2823"/>
    <w:rsid w:val="006A2B34"/>
    <w:rsid w:val="006A2EC3"/>
    <w:rsid w:val="006A2F2E"/>
    <w:rsid w:val="006A3033"/>
    <w:rsid w:val="006A35A0"/>
    <w:rsid w:val="006A3616"/>
    <w:rsid w:val="006A38AA"/>
    <w:rsid w:val="006A3998"/>
    <w:rsid w:val="006A3B34"/>
    <w:rsid w:val="006A3C10"/>
    <w:rsid w:val="006A3CF8"/>
    <w:rsid w:val="006A41BE"/>
    <w:rsid w:val="006A455A"/>
    <w:rsid w:val="006A4624"/>
    <w:rsid w:val="006A4BC6"/>
    <w:rsid w:val="006A4D5F"/>
    <w:rsid w:val="006A5083"/>
    <w:rsid w:val="006A55DD"/>
    <w:rsid w:val="006A601D"/>
    <w:rsid w:val="006A6353"/>
    <w:rsid w:val="006A6E6B"/>
    <w:rsid w:val="006A6F7E"/>
    <w:rsid w:val="006A70A1"/>
    <w:rsid w:val="006A7CBE"/>
    <w:rsid w:val="006A7E19"/>
    <w:rsid w:val="006A7FA8"/>
    <w:rsid w:val="006B017E"/>
    <w:rsid w:val="006B0337"/>
    <w:rsid w:val="006B07B0"/>
    <w:rsid w:val="006B1255"/>
    <w:rsid w:val="006B1E8F"/>
    <w:rsid w:val="006B234F"/>
    <w:rsid w:val="006B2BAC"/>
    <w:rsid w:val="006B2BF6"/>
    <w:rsid w:val="006B2EF5"/>
    <w:rsid w:val="006B30D9"/>
    <w:rsid w:val="006B33DC"/>
    <w:rsid w:val="006B366F"/>
    <w:rsid w:val="006B37E0"/>
    <w:rsid w:val="006B3853"/>
    <w:rsid w:val="006B3D40"/>
    <w:rsid w:val="006B3DD2"/>
    <w:rsid w:val="006B4012"/>
    <w:rsid w:val="006B4401"/>
    <w:rsid w:val="006B4436"/>
    <w:rsid w:val="006B5F87"/>
    <w:rsid w:val="006B60F6"/>
    <w:rsid w:val="006B61E1"/>
    <w:rsid w:val="006B6433"/>
    <w:rsid w:val="006B66D5"/>
    <w:rsid w:val="006B6914"/>
    <w:rsid w:val="006B747D"/>
    <w:rsid w:val="006B7D7F"/>
    <w:rsid w:val="006B7E24"/>
    <w:rsid w:val="006C0AE5"/>
    <w:rsid w:val="006C0D24"/>
    <w:rsid w:val="006C0FB5"/>
    <w:rsid w:val="006C1009"/>
    <w:rsid w:val="006C1502"/>
    <w:rsid w:val="006C1525"/>
    <w:rsid w:val="006C16BA"/>
    <w:rsid w:val="006C1750"/>
    <w:rsid w:val="006C176C"/>
    <w:rsid w:val="006C1BB7"/>
    <w:rsid w:val="006C2112"/>
    <w:rsid w:val="006C233E"/>
    <w:rsid w:val="006C251A"/>
    <w:rsid w:val="006C27A4"/>
    <w:rsid w:val="006C28D2"/>
    <w:rsid w:val="006C2A9D"/>
    <w:rsid w:val="006C2AEC"/>
    <w:rsid w:val="006C2AF1"/>
    <w:rsid w:val="006C2C71"/>
    <w:rsid w:val="006C2DA0"/>
    <w:rsid w:val="006C2EAA"/>
    <w:rsid w:val="006C3016"/>
    <w:rsid w:val="006C38BE"/>
    <w:rsid w:val="006C3AD9"/>
    <w:rsid w:val="006C3C08"/>
    <w:rsid w:val="006C4093"/>
    <w:rsid w:val="006C4150"/>
    <w:rsid w:val="006C4402"/>
    <w:rsid w:val="006C45E6"/>
    <w:rsid w:val="006C4603"/>
    <w:rsid w:val="006C463E"/>
    <w:rsid w:val="006C5319"/>
    <w:rsid w:val="006C53AF"/>
    <w:rsid w:val="006C5593"/>
    <w:rsid w:val="006C5BE3"/>
    <w:rsid w:val="006C5D9A"/>
    <w:rsid w:val="006C5F78"/>
    <w:rsid w:val="006C6011"/>
    <w:rsid w:val="006C62F9"/>
    <w:rsid w:val="006C6355"/>
    <w:rsid w:val="006C6C77"/>
    <w:rsid w:val="006D0131"/>
    <w:rsid w:val="006D096E"/>
    <w:rsid w:val="006D0A29"/>
    <w:rsid w:val="006D0CF7"/>
    <w:rsid w:val="006D0E84"/>
    <w:rsid w:val="006D12DB"/>
    <w:rsid w:val="006D15D4"/>
    <w:rsid w:val="006D164F"/>
    <w:rsid w:val="006D1A17"/>
    <w:rsid w:val="006D1B22"/>
    <w:rsid w:val="006D1B80"/>
    <w:rsid w:val="006D1BBF"/>
    <w:rsid w:val="006D2591"/>
    <w:rsid w:val="006D3184"/>
    <w:rsid w:val="006D3330"/>
    <w:rsid w:val="006D3468"/>
    <w:rsid w:val="006D3A32"/>
    <w:rsid w:val="006D3C80"/>
    <w:rsid w:val="006D3E71"/>
    <w:rsid w:val="006D4098"/>
    <w:rsid w:val="006D44B9"/>
    <w:rsid w:val="006D524C"/>
    <w:rsid w:val="006D5752"/>
    <w:rsid w:val="006D5FFF"/>
    <w:rsid w:val="006D6108"/>
    <w:rsid w:val="006D6280"/>
    <w:rsid w:val="006D630B"/>
    <w:rsid w:val="006D752D"/>
    <w:rsid w:val="006D79F2"/>
    <w:rsid w:val="006E0073"/>
    <w:rsid w:val="006E0280"/>
    <w:rsid w:val="006E0400"/>
    <w:rsid w:val="006E0748"/>
    <w:rsid w:val="006E0BC7"/>
    <w:rsid w:val="006E0F64"/>
    <w:rsid w:val="006E1186"/>
    <w:rsid w:val="006E1485"/>
    <w:rsid w:val="006E1541"/>
    <w:rsid w:val="006E16B7"/>
    <w:rsid w:val="006E1A02"/>
    <w:rsid w:val="006E1A93"/>
    <w:rsid w:val="006E2696"/>
    <w:rsid w:val="006E2CA5"/>
    <w:rsid w:val="006E3149"/>
    <w:rsid w:val="006E3444"/>
    <w:rsid w:val="006E344B"/>
    <w:rsid w:val="006E350E"/>
    <w:rsid w:val="006E35CA"/>
    <w:rsid w:val="006E379A"/>
    <w:rsid w:val="006E44C9"/>
    <w:rsid w:val="006E46DE"/>
    <w:rsid w:val="006E46F8"/>
    <w:rsid w:val="006E4A74"/>
    <w:rsid w:val="006E4CF0"/>
    <w:rsid w:val="006E54AC"/>
    <w:rsid w:val="006E555F"/>
    <w:rsid w:val="006E571F"/>
    <w:rsid w:val="006E5B1F"/>
    <w:rsid w:val="006E5D1F"/>
    <w:rsid w:val="006E6911"/>
    <w:rsid w:val="006E6970"/>
    <w:rsid w:val="006E698D"/>
    <w:rsid w:val="006E6A1F"/>
    <w:rsid w:val="006E6E5E"/>
    <w:rsid w:val="006E787B"/>
    <w:rsid w:val="006E7B49"/>
    <w:rsid w:val="006E7BBE"/>
    <w:rsid w:val="006E7D8D"/>
    <w:rsid w:val="006E7DC3"/>
    <w:rsid w:val="006E7DD9"/>
    <w:rsid w:val="006F0190"/>
    <w:rsid w:val="006F0746"/>
    <w:rsid w:val="006F10A8"/>
    <w:rsid w:val="006F12B5"/>
    <w:rsid w:val="006F1A34"/>
    <w:rsid w:val="006F2154"/>
    <w:rsid w:val="006F21A6"/>
    <w:rsid w:val="006F2409"/>
    <w:rsid w:val="006F2721"/>
    <w:rsid w:val="006F2748"/>
    <w:rsid w:val="006F28DC"/>
    <w:rsid w:val="006F3395"/>
    <w:rsid w:val="006F35CA"/>
    <w:rsid w:val="006F370C"/>
    <w:rsid w:val="006F37E4"/>
    <w:rsid w:val="006F3907"/>
    <w:rsid w:val="006F3BC9"/>
    <w:rsid w:val="006F3D0D"/>
    <w:rsid w:val="006F3FAF"/>
    <w:rsid w:val="006F4315"/>
    <w:rsid w:val="006F47EB"/>
    <w:rsid w:val="006F51B3"/>
    <w:rsid w:val="006F5416"/>
    <w:rsid w:val="006F563A"/>
    <w:rsid w:val="006F5AA7"/>
    <w:rsid w:val="006F5F31"/>
    <w:rsid w:val="006F6194"/>
    <w:rsid w:val="006F64EC"/>
    <w:rsid w:val="006F6540"/>
    <w:rsid w:val="006F6623"/>
    <w:rsid w:val="006F6C66"/>
    <w:rsid w:val="006F6D3A"/>
    <w:rsid w:val="006F70CA"/>
    <w:rsid w:val="006F7A7F"/>
    <w:rsid w:val="007006DB"/>
    <w:rsid w:val="007009CA"/>
    <w:rsid w:val="00700B3C"/>
    <w:rsid w:val="00701483"/>
    <w:rsid w:val="0070168B"/>
    <w:rsid w:val="0070183C"/>
    <w:rsid w:val="00701B29"/>
    <w:rsid w:val="00702BFD"/>
    <w:rsid w:val="00702E15"/>
    <w:rsid w:val="007038DF"/>
    <w:rsid w:val="00704022"/>
    <w:rsid w:val="00704219"/>
    <w:rsid w:val="00704302"/>
    <w:rsid w:val="007045A1"/>
    <w:rsid w:val="00704732"/>
    <w:rsid w:val="00704CC8"/>
    <w:rsid w:val="00704DCE"/>
    <w:rsid w:val="0070595A"/>
    <w:rsid w:val="00705B21"/>
    <w:rsid w:val="0070641A"/>
    <w:rsid w:val="007066EC"/>
    <w:rsid w:val="007069B8"/>
    <w:rsid w:val="00706D9F"/>
    <w:rsid w:val="00706F7C"/>
    <w:rsid w:val="00707056"/>
    <w:rsid w:val="0070706F"/>
    <w:rsid w:val="0070721B"/>
    <w:rsid w:val="007074A9"/>
    <w:rsid w:val="007075CA"/>
    <w:rsid w:val="00707E04"/>
    <w:rsid w:val="0071013A"/>
    <w:rsid w:val="00710D4C"/>
    <w:rsid w:val="0071134C"/>
    <w:rsid w:val="00711FB7"/>
    <w:rsid w:val="007121A8"/>
    <w:rsid w:val="00712751"/>
    <w:rsid w:val="0071291F"/>
    <w:rsid w:val="00712C09"/>
    <w:rsid w:val="00713615"/>
    <w:rsid w:val="00713A43"/>
    <w:rsid w:val="00713D02"/>
    <w:rsid w:val="00713EDE"/>
    <w:rsid w:val="00713F46"/>
    <w:rsid w:val="00714038"/>
    <w:rsid w:val="00714986"/>
    <w:rsid w:val="00714BDD"/>
    <w:rsid w:val="00714C1D"/>
    <w:rsid w:val="007155B8"/>
    <w:rsid w:val="0071562A"/>
    <w:rsid w:val="00715B77"/>
    <w:rsid w:val="00715C32"/>
    <w:rsid w:val="00715DFA"/>
    <w:rsid w:val="00715F02"/>
    <w:rsid w:val="007164D2"/>
    <w:rsid w:val="00716694"/>
    <w:rsid w:val="007168F1"/>
    <w:rsid w:val="00716B1F"/>
    <w:rsid w:val="00716B78"/>
    <w:rsid w:val="007171A8"/>
    <w:rsid w:val="007174DF"/>
    <w:rsid w:val="00717579"/>
    <w:rsid w:val="00720142"/>
    <w:rsid w:val="007213B3"/>
    <w:rsid w:val="0072155A"/>
    <w:rsid w:val="00721969"/>
    <w:rsid w:val="00721D65"/>
    <w:rsid w:val="00721FC7"/>
    <w:rsid w:val="007224A4"/>
    <w:rsid w:val="00722888"/>
    <w:rsid w:val="00723046"/>
    <w:rsid w:val="00723327"/>
    <w:rsid w:val="00723398"/>
    <w:rsid w:val="00723F11"/>
    <w:rsid w:val="00723F72"/>
    <w:rsid w:val="007240FC"/>
    <w:rsid w:val="00724553"/>
    <w:rsid w:val="007245E1"/>
    <w:rsid w:val="00724648"/>
    <w:rsid w:val="00724747"/>
    <w:rsid w:val="00724EC3"/>
    <w:rsid w:val="00725117"/>
    <w:rsid w:val="007253C1"/>
    <w:rsid w:val="00725905"/>
    <w:rsid w:val="00725E6D"/>
    <w:rsid w:val="007261E1"/>
    <w:rsid w:val="00726430"/>
    <w:rsid w:val="00726DDE"/>
    <w:rsid w:val="00727138"/>
    <w:rsid w:val="00727946"/>
    <w:rsid w:val="00727C46"/>
    <w:rsid w:val="00730019"/>
    <w:rsid w:val="00730669"/>
    <w:rsid w:val="007306B3"/>
    <w:rsid w:val="007313F2"/>
    <w:rsid w:val="00731A16"/>
    <w:rsid w:val="00731E65"/>
    <w:rsid w:val="00731E6B"/>
    <w:rsid w:val="0073209C"/>
    <w:rsid w:val="007325B1"/>
    <w:rsid w:val="007326C5"/>
    <w:rsid w:val="00732BB0"/>
    <w:rsid w:val="007330D7"/>
    <w:rsid w:val="0073315A"/>
    <w:rsid w:val="00733285"/>
    <w:rsid w:val="00733FCF"/>
    <w:rsid w:val="007341BA"/>
    <w:rsid w:val="00734EFA"/>
    <w:rsid w:val="00735178"/>
    <w:rsid w:val="00735790"/>
    <w:rsid w:val="007358B3"/>
    <w:rsid w:val="007358ED"/>
    <w:rsid w:val="00735925"/>
    <w:rsid w:val="007359E9"/>
    <w:rsid w:val="00735BA6"/>
    <w:rsid w:val="00735E36"/>
    <w:rsid w:val="00735F9A"/>
    <w:rsid w:val="0073610E"/>
    <w:rsid w:val="0073613E"/>
    <w:rsid w:val="0073631E"/>
    <w:rsid w:val="00736368"/>
    <w:rsid w:val="00736572"/>
    <w:rsid w:val="00736C16"/>
    <w:rsid w:val="00736DA2"/>
    <w:rsid w:val="007371C6"/>
    <w:rsid w:val="007375E2"/>
    <w:rsid w:val="00737778"/>
    <w:rsid w:val="007377ED"/>
    <w:rsid w:val="007379E1"/>
    <w:rsid w:val="00737AAC"/>
    <w:rsid w:val="00737C5E"/>
    <w:rsid w:val="007402D3"/>
    <w:rsid w:val="007402E1"/>
    <w:rsid w:val="00740655"/>
    <w:rsid w:val="007407AD"/>
    <w:rsid w:val="0074083A"/>
    <w:rsid w:val="007409E9"/>
    <w:rsid w:val="00740B31"/>
    <w:rsid w:val="00741590"/>
    <w:rsid w:val="00741616"/>
    <w:rsid w:val="007418E7"/>
    <w:rsid w:val="00741AF2"/>
    <w:rsid w:val="00741F28"/>
    <w:rsid w:val="00741FE9"/>
    <w:rsid w:val="0074273F"/>
    <w:rsid w:val="00742C50"/>
    <w:rsid w:val="00742C59"/>
    <w:rsid w:val="0074338E"/>
    <w:rsid w:val="00743670"/>
    <w:rsid w:val="0074377D"/>
    <w:rsid w:val="007445BB"/>
    <w:rsid w:val="007451D5"/>
    <w:rsid w:val="00745492"/>
    <w:rsid w:val="007468DC"/>
    <w:rsid w:val="00746A2E"/>
    <w:rsid w:val="00746D43"/>
    <w:rsid w:val="00746DC9"/>
    <w:rsid w:val="00746FAD"/>
    <w:rsid w:val="00746FDE"/>
    <w:rsid w:val="007476B4"/>
    <w:rsid w:val="00747A1C"/>
    <w:rsid w:val="00747EF6"/>
    <w:rsid w:val="00750619"/>
    <w:rsid w:val="00750EB1"/>
    <w:rsid w:val="007513AD"/>
    <w:rsid w:val="0075173D"/>
    <w:rsid w:val="00751766"/>
    <w:rsid w:val="007517C7"/>
    <w:rsid w:val="007520CC"/>
    <w:rsid w:val="00752241"/>
    <w:rsid w:val="00752781"/>
    <w:rsid w:val="00752EC0"/>
    <w:rsid w:val="00753833"/>
    <w:rsid w:val="00753E3F"/>
    <w:rsid w:val="007542BB"/>
    <w:rsid w:val="00754559"/>
    <w:rsid w:val="00754713"/>
    <w:rsid w:val="00754862"/>
    <w:rsid w:val="00754B06"/>
    <w:rsid w:val="00754C2C"/>
    <w:rsid w:val="0075591B"/>
    <w:rsid w:val="00756485"/>
    <w:rsid w:val="007565A4"/>
    <w:rsid w:val="0075674F"/>
    <w:rsid w:val="007569AD"/>
    <w:rsid w:val="00756DDC"/>
    <w:rsid w:val="0075753B"/>
    <w:rsid w:val="007575D9"/>
    <w:rsid w:val="007576B3"/>
    <w:rsid w:val="00757788"/>
    <w:rsid w:val="00757912"/>
    <w:rsid w:val="00757BEC"/>
    <w:rsid w:val="00757FE3"/>
    <w:rsid w:val="00760B64"/>
    <w:rsid w:val="00760FF2"/>
    <w:rsid w:val="007611AB"/>
    <w:rsid w:val="007611DF"/>
    <w:rsid w:val="007611F7"/>
    <w:rsid w:val="00761313"/>
    <w:rsid w:val="00761654"/>
    <w:rsid w:val="00761B87"/>
    <w:rsid w:val="00761C2A"/>
    <w:rsid w:val="00762180"/>
    <w:rsid w:val="00762268"/>
    <w:rsid w:val="007622D7"/>
    <w:rsid w:val="0076276C"/>
    <w:rsid w:val="00762962"/>
    <w:rsid w:val="00762E94"/>
    <w:rsid w:val="00762FA7"/>
    <w:rsid w:val="00763020"/>
    <w:rsid w:val="007630C6"/>
    <w:rsid w:val="007633FB"/>
    <w:rsid w:val="00764229"/>
    <w:rsid w:val="00764CC7"/>
    <w:rsid w:val="00764D5A"/>
    <w:rsid w:val="00765A44"/>
    <w:rsid w:val="00765B58"/>
    <w:rsid w:val="00765E8F"/>
    <w:rsid w:val="007666BD"/>
    <w:rsid w:val="00766767"/>
    <w:rsid w:val="00766947"/>
    <w:rsid w:val="00766C18"/>
    <w:rsid w:val="00766F18"/>
    <w:rsid w:val="00767314"/>
    <w:rsid w:val="00767848"/>
    <w:rsid w:val="007679D6"/>
    <w:rsid w:val="00767EE3"/>
    <w:rsid w:val="00767FB3"/>
    <w:rsid w:val="0077048F"/>
    <w:rsid w:val="007706B7"/>
    <w:rsid w:val="00770740"/>
    <w:rsid w:val="00770949"/>
    <w:rsid w:val="00770A4E"/>
    <w:rsid w:val="00770C69"/>
    <w:rsid w:val="00770E26"/>
    <w:rsid w:val="00771390"/>
    <w:rsid w:val="00771438"/>
    <w:rsid w:val="0077153B"/>
    <w:rsid w:val="0077172E"/>
    <w:rsid w:val="00771C3F"/>
    <w:rsid w:val="0077296E"/>
    <w:rsid w:val="00772B35"/>
    <w:rsid w:val="0077314F"/>
    <w:rsid w:val="007732B0"/>
    <w:rsid w:val="007732B2"/>
    <w:rsid w:val="0077361E"/>
    <w:rsid w:val="00773F15"/>
    <w:rsid w:val="00774125"/>
    <w:rsid w:val="00774348"/>
    <w:rsid w:val="007743B2"/>
    <w:rsid w:val="0077458B"/>
    <w:rsid w:val="007747EF"/>
    <w:rsid w:val="00774A1C"/>
    <w:rsid w:val="00774C78"/>
    <w:rsid w:val="007754F7"/>
    <w:rsid w:val="00775881"/>
    <w:rsid w:val="007758B7"/>
    <w:rsid w:val="007758D6"/>
    <w:rsid w:val="0077593D"/>
    <w:rsid w:val="00775CC5"/>
    <w:rsid w:val="007762B7"/>
    <w:rsid w:val="007764D7"/>
    <w:rsid w:val="00776FD4"/>
    <w:rsid w:val="0077710C"/>
    <w:rsid w:val="00777780"/>
    <w:rsid w:val="00777864"/>
    <w:rsid w:val="00777A4F"/>
    <w:rsid w:val="0078005B"/>
    <w:rsid w:val="007802BD"/>
    <w:rsid w:val="00780306"/>
    <w:rsid w:val="007803AD"/>
    <w:rsid w:val="0078096C"/>
    <w:rsid w:val="0078099B"/>
    <w:rsid w:val="00780C48"/>
    <w:rsid w:val="00780E53"/>
    <w:rsid w:val="00780F24"/>
    <w:rsid w:val="007816AC"/>
    <w:rsid w:val="00781E29"/>
    <w:rsid w:val="007832B6"/>
    <w:rsid w:val="00783B6D"/>
    <w:rsid w:val="00783D0D"/>
    <w:rsid w:val="00783DB2"/>
    <w:rsid w:val="00783E19"/>
    <w:rsid w:val="007840D2"/>
    <w:rsid w:val="0078412F"/>
    <w:rsid w:val="00784207"/>
    <w:rsid w:val="00784254"/>
    <w:rsid w:val="0078449C"/>
    <w:rsid w:val="007847E3"/>
    <w:rsid w:val="00784C86"/>
    <w:rsid w:val="00784F6D"/>
    <w:rsid w:val="00785146"/>
    <w:rsid w:val="00785151"/>
    <w:rsid w:val="00785165"/>
    <w:rsid w:val="007858B8"/>
    <w:rsid w:val="007862E8"/>
    <w:rsid w:val="0078670E"/>
    <w:rsid w:val="0078673F"/>
    <w:rsid w:val="00786BA5"/>
    <w:rsid w:val="00786C27"/>
    <w:rsid w:val="00786F8D"/>
    <w:rsid w:val="00787000"/>
    <w:rsid w:val="007871FB"/>
    <w:rsid w:val="00787743"/>
    <w:rsid w:val="0078781D"/>
    <w:rsid w:val="00790759"/>
    <w:rsid w:val="0079078C"/>
    <w:rsid w:val="00790FE1"/>
    <w:rsid w:val="0079136E"/>
    <w:rsid w:val="00791AA9"/>
    <w:rsid w:val="00792101"/>
    <w:rsid w:val="00792688"/>
    <w:rsid w:val="0079337C"/>
    <w:rsid w:val="007933A7"/>
    <w:rsid w:val="007939FA"/>
    <w:rsid w:val="00793F58"/>
    <w:rsid w:val="00794446"/>
    <w:rsid w:val="00794DA0"/>
    <w:rsid w:val="00795046"/>
    <w:rsid w:val="00795492"/>
    <w:rsid w:val="0079565F"/>
    <w:rsid w:val="007956D3"/>
    <w:rsid w:val="007957BE"/>
    <w:rsid w:val="0079582C"/>
    <w:rsid w:val="00795D27"/>
    <w:rsid w:val="00795EF0"/>
    <w:rsid w:val="00796ECB"/>
    <w:rsid w:val="00796FDD"/>
    <w:rsid w:val="007972E0"/>
    <w:rsid w:val="007976EC"/>
    <w:rsid w:val="00797965"/>
    <w:rsid w:val="007A0249"/>
    <w:rsid w:val="007A17C1"/>
    <w:rsid w:val="007A1CDD"/>
    <w:rsid w:val="007A229E"/>
    <w:rsid w:val="007A2A34"/>
    <w:rsid w:val="007A2BB4"/>
    <w:rsid w:val="007A2BC4"/>
    <w:rsid w:val="007A2D2A"/>
    <w:rsid w:val="007A2EE0"/>
    <w:rsid w:val="007A31DE"/>
    <w:rsid w:val="007A3DC3"/>
    <w:rsid w:val="007A402A"/>
    <w:rsid w:val="007A45AF"/>
    <w:rsid w:val="007A4D03"/>
    <w:rsid w:val="007A4DCD"/>
    <w:rsid w:val="007A4E82"/>
    <w:rsid w:val="007A5003"/>
    <w:rsid w:val="007A53B1"/>
    <w:rsid w:val="007A5466"/>
    <w:rsid w:val="007A556D"/>
    <w:rsid w:val="007A5678"/>
    <w:rsid w:val="007A5911"/>
    <w:rsid w:val="007A6994"/>
    <w:rsid w:val="007A7BD9"/>
    <w:rsid w:val="007A7CED"/>
    <w:rsid w:val="007A7F3E"/>
    <w:rsid w:val="007B04BB"/>
    <w:rsid w:val="007B096A"/>
    <w:rsid w:val="007B0EED"/>
    <w:rsid w:val="007B13FA"/>
    <w:rsid w:val="007B15D6"/>
    <w:rsid w:val="007B1756"/>
    <w:rsid w:val="007B23C4"/>
    <w:rsid w:val="007B287A"/>
    <w:rsid w:val="007B304A"/>
    <w:rsid w:val="007B34C9"/>
    <w:rsid w:val="007B35AD"/>
    <w:rsid w:val="007B3935"/>
    <w:rsid w:val="007B3BC8"/>
    <w:rsid w:val="007B3F54"/>
    <w:rsid w:val="007B413D"/>
    <w:rsid w:val="007B414B"/>
    <w:rsid w:val="007B41BA"/>
    <w:rsid w:val="007B41C3"/>
    <w:rsid w:val="007B50AF"/>
    <w:rsid w:val="007B5655"/>
    <w:rsid w:val="007B586A"/>
    <w:rsid w:val="007B5BE4"/>
    <w:rsid w:val="007B638D"/>
    <w:rsid w:val="007B6E09"/>
    <w:rsid w:val="007B6F1C"/>
    <w:rsid w:val="007B70AE"/>
    <w:rsid w:val="007B7AA3"/>
    <w:rsid w:val="007B7D32"/>
    <w:rsid w:val="007B7D4E"/>
    <w:rsid w:val="007C02F2"/>
    <w:rsid w:val="007C06F3"/>
    <w:rsid w:val="007C0CBE"/>
    <w:rsid w:val="007C10DD"/>
    <w:rsid w:val="007C114A"/>
    <w:rsid w:val="007C13CF"/>
    <w:rsid w:val="007C1EF9"/>
    <w:rsid w:val="007C213C"/>
    <w:rsid w:val="007C260B"/>
    <w:rsid w:val="007C28FA"/>
    <w:rsid w:val="007C2A3B"/>
    <w:rsid w:val="007C2DC1"/>
    <w:rsid w:val="007C2FA9"/>
    <w:rsid w:val="007C3196"/>
    <w:rsid w:val="007C39FB"/>
    <w:rsid w:val="007C3B69"/>
    <w:rsid w:val="007C3FE8"/>
    <w:rsid w:val="007C4188"/>
    <w:rsid w:val="007C4962"/>
    <w:rsid w:val="007C4BA3"/>
    <w:rsid w:val="007C504E"/>
    <w:rsid w:val="007C5123"/>
    <w:rsid w:val="007C5379"/>
    <w:rsid w:val="007C5B1D"/>
    <w:rsid w:val="007C5D44"/>
    <w:rsid w:val="007C5F99"/>
    <w:rsid w:val="007C6103"/>
    <w:rsid w:val="007C62A9"/>
    <w:rsid w:val="007C7998"/>
    <w:rsid w:val="007C7AE1"/>
    <w:rsid w:val="007C7F97"/>
    <w:rsid w:val="007D00ED"/>
    <w:rsid w:val="007D06DC"/>
    <w:rsid w:val="007D09D9"/>
    <w:rsid w:val="007D0A94"/>
    <w:rsid w:val="007D0D09"/>
    <w:rsid w:val="007D0E86"/>
    <w:rsid w:val="007D11A8"/>
    <w:rsid w:val="007D1254"/>
    <w:rsid w:val="007D20C1"/>
    <w:rsid w:val="007D22F9"/>
    <w:rsid w:val="007D2364"/>
    <w:rsid w:val="007D2B05"/>
    <w:rsid w:val="007D2D67"/>
    <w:rsid w:val="007D3474"/>
    <w:rsid w:val="007D363B"/>
    <w:rsid w:val="007D3C69"/>
    <w:rsid w:val="007D4550"/>
    <w:rsid w:val="007D47ED"/>
    <w:rsid w:val="007D4A53"/>
    <w:rsid w:val="007D4F54"/>
    <w:rsid w:val="007D5091"/>
    <w:rsid w:val="007D50D2"/>
    <w:rsid w:val="007D512A"/>
    <w:rsid w:val="007D51A5"/>
    <w:rsid w:val="007D5511"/>
    <w:rsid w:val="007D5790"/>
    <w:rsid w:val="007D5961"/>
    <w:rsid w:val="007D63D9"/>
    <w:rsid w:val="007D74AE"/>
    <w:rsid w:val="007D7553"/>
    <w:rsid w:val="007D7F31"/>
    <w:rsid w:val="007E0052"/>
    <w:rsid w:val="007E0115"/>
    <w:rsid w:val="007E04D9"/>
    <w:rsid w:val="007E0553"/>
    <w:rsid w:val="007E066B"/>
    <w:rsid w:val="007E0BE1"/>
    <w:rsid w:val="007E0CD4"/>
    <w:rsid w:val="007E12EE"/>
    <w:rsid w:val="007E1B69"/>
    <w:rsid w:val="007E1C13"/>
    <w:rsid w:val="007E292B"/>
    <w:rsid w:val="007E2A13"/>
    <w:rsid w:val="007E3026"/>
    <w:rsid w:val="007E33B5"/>
    <w:rsid w:val="007E39FD"/>
    <w:rsid w:val="007E3E33"/>
    <w:rsid w:val="007E417F"/>
    <w:rsid w:val="007E45CF"/>
    <w:rsid w:val="007E4A4D"/>
    <w:rsid w:val="007E5595"/>
    <w:rsid w:val="007E5C59"/>
    <w:rsid w:val="007E6C18"/>
    <w:rsid w:val="007E7216"/>
    <w:rsid w:val="007E7328"/>
    <w:rsid w:val="007E756F"/>
    <w:rsid w:val="007E7AF6"/>
    <w:rsid w:val="007E7D3E"/>
    <w:rsid w:val="007E7D44"/>
    <w:rsid w:val="007F06D8"/>
    <w:rsid w:val="007F077A"/>
    <w:rsid w:val="007F0D9E"/>
    <w:rsid w:val="007F1828"/>
    <w:rsid w:val="007F20B9"/>
    <w:rsid w:val="007F26A8"/>
    <w:rsid w:val="007F2747"/>
    <w:rsid w:val="007F2A27"/>
    <w:rsid w:val="007F3262"/>
    <w:rsid w:val="007F3465"/>
    <w:rsid w:val="007F352C"/>
    <w:rsid w:val="007F3635"/>
    <w:rsid w:val="007F36DE"/>
    <w:rsid w:val="007F3C0D"/>
    <w:rsid w:val="007F477D"/>
    <w:rsid w:val="007F4A1B"/>
    <w:rsid w:val="007F5118"/>
    <w:rsid w:val="007F548C"/>
    <w:rsid w:val="007F63EE"/>
    <w:rsid w:val="007F6496"/>
    <w:rsid w:val="007F6BBE"/>
    <w:rsid w:val="007F6C42"/>
    <w:rsid w:val="007F6EAB"/>
    <w:rsid w:val="007F79D2"/>
    <w:rsid w:val="007F7CE0"/>
    <w:rsid w:val="00800280"/>
    <w:rsid w:val="00800432"/>
    <w:rsid w:val="00800726"/>
    <w:rsid w:val="00800827"/>
    <w:rsid w:val="00800A66"/>
    <w:rsid w:val="00800B47"/>
    <w:rsid w:val="00801175"/>
    <w:rsid w:val="0080168F"/>
    <w:rsid w:val="008016A0"/>
    <w:rsid w:val="00801721"/>
    <w:rsid w:val="00802EC8"/>
    <w:rsid w:val="00803C18"/>
    <w:rsid w:val="00803ED7"/>
    <w:rsid w:val="0080417C"/>
    <w:rsid w:val="008041AF"/>
    <w:rsid w:val="00804276"/>
    <w:rsid w:val="00804460"/>
    <w:rsid w:val="00804481"/>
    <w:rsid w:val="0080461C"/>
    <w:rsid w:val="0080464A"/>
    <w:rsid w:val="0080479F"/>
    <w:rsid w:val="008048B7"/>
    <w:rsid w:val="00804B0C"/>
    <w:rsid w:val="0080515A"/>
    <w:rsid w:val="0080525F"/>
    <w:rsid w:val="0080570B"/>
    <w:rsid w:val="00805865"/>
    <w:rsid w:val="008061B7"/>
    <w:rsid w:val="0080621B"/>
    <w:rsid w:val="008062F7"/>
    <w:rsid w:val="00806992"/>
    <w:rsid w:val="0080718B"/>
    <w:rsid w:val="0080727A"/>
    <w:rsid w:val="00807665"/>
    <w:rsid w:val="00807A8B"/>
    <w:rsid w:val="00807B69"/>
    <w:rsid w:val="00807B8F"/>
    <w:rsid w:val="00807CE1"/>
    <w:rsid w:val="0081023F"/>
    <w:rsid w:val="008107CD"/>
    <w:rsid w:val="00810EE2"/>
    <w:rsid w:val="0081109B"/>
    <w:rsid w:val="0081162B"/>
    <w:rsid w:val="00811762"/>
    <w:rsid w:val="0081227C"/>
    <w:rsid w:val="008125D5"/>
    <w:rsid w:val="00812AAA"/>
    <w:rsid w:val="00812C78"/>
    <w:rsid w:val="0081337F"/>
    <w:rsid w:val="008134FE"/>
    <w:rsid w:val="008139D0"/>
    <w:rsid w:val="00813BE4"/>
    <w:rsid w:val="00813ECB"/>
    <w:rsid w:val="00813FDB"/>
    <w:rsid w:val="00814875"/>
    <w:rsid w:val="0081506B"/>
    <w:rsid w:val="008154C5"/>
    <w:rsid w:val="008159B6"/>
    <w:rsid w:val="00815AD7"/>
    <w:rsid w:val="00815B99"/>
    <w:rsid w:val="00816162"/>
    <w:rsid w:val="008163D1"/>
    <w:rsid w:val="008167BC"/>
    <w:rsid w:val="0081701D"/>
    <w:rsid w:val="00817069"/>
    <w:rsid w:val="008177FE"/>
    <w:rsid w:val="00817A88"/>
    <w:rsid w:val="008200BA"/>
    <w:rsid w:val="008205B5"/>
    <w:rsid w:val="00820A02"/>
    <w:rsid w:val="00820C33"/>
    <w:rsid w:val="00820D92"/>
    <w:rsid w:val="00820EBC"/>
    <w:rsid w:val="008210B8"/>
    <w:rsid w:val="00821102"/>
    <w:rsid w:val="00821230"/>
    <w:rsid w:val="008219D9"/>
    <w:rsid w:val="00821CFD"/>
    <w:rsid w:val="00822270"/>
    <w:rsid w:val="008222B5"/>
    <w:rsid w:val="00822442"/>
    <w:rsid w:val="00822478"/>
    <w:rsid w:val="00822CB8"/>
    <w:rsid w:val="00822DBC"/>
    <w:rsid w:val="00822E87"/>
    <w:rsid w:val="008234BC"/>
    <w:rsid w:val="0082363E"/>
    <w:rsid w:val="0082396C"/>
    <w:rsid w:val="00823A7C"/>
    <w:rsid w:val="00823E26"/>
    <w:rsid w:val="00824570"/>
    <w:rsid w:val="00824F89"/>
    <w:rsid w:val="008250C2"/>
    <w:rsid w:val="0082511E"/>
    <w:rsid w:val="00825325"/>
    <w:rsid w:val="00825987"/>
    <w:rsid w:val="00825AB1"/>
    <w:rsid w:val="00825ACB"/>
    <w:rsid w:val="00825FF6"/>
    <w:rsid w:val="008261C8"/>
    <w:rsid w:val="008269E8"/>
    <w:rsid w:val="00826B86"/>
    <w:rsid w:val="00827422"/>
    <w:rsid w:val="00827576"/>
    <w:rsid w:val="00827863"/>
    <w:rsid w:val="00827AD7"/>
    <w:rsid w:val="00827BD8"/>
    <w:rsid w:val="00827C90"/>
    <w:rsid w:val="00827F82"/>
    <w:rsid w:val="00827FBF"/>
    <w:rsid w:val="00830326"/>
    <w:rsid w:val="00830C76"/>
    <w:rsid w:val="00830FB5"/>
    <w:rsid w:val="008311AC"/>
    <w:rsid w:val="008313A7"/>
    <w:rsid w:val="0083197D"/>
    <w:rsid w:val="00831A79"/>
    <w:rsid w:val="00831DFD"/>
    <w:rsid w:val="00831F70"/>
    <w:rsid w:val="0083235B"/>
    <w:rsid w:val="00832426"/>
    <w:rsid w:val="0083249E"/>
    <w:rsid w:val="0083286D"/>
    <w:rsid w:val="00832C70"/>
    <w:rsid w:val="0083307F"/>
    <w:rsid w:val="0083327B"/>
    <w:rsid w:val="00833851"/>
    <w:rsid w:val="00833E2A"/>
    <w:rsid w:val="0083419B"/>
    <w:rsid w:val="008341F1"/>
    <w:rsid w:val="0083450A"/>
    <w:rsid w:val="00835504"/>
    <w:rsid w:val="008358DC"/>
    <w:rsid w:val="00835935"/>
    <w:rsid w:val="0083648F"/>
    <w:rsid w:val="008364A1"/>
    <w:rsid w:val="00836E4E"/>
    <w:rsid w:val="0083743D"/>
    <w:rsid w:val="0083799B"/>
    <w:rsid w:val="00837C49"/>
    <w:rsid w:val="008400D1"/>
    <w:rsid w:val="008409B4"/>
    <w:rsid w:val="00840E3D"/>
    <w:rsid w:val="00841055"/>
    <w:rsid w:val="00841575"/>
    <w:rsid w:val="00841DF1"/>
    <w:rsid w:val="0084246C"/>
    <w:rsid w:val="00842523"/>
    <w:rsid w:val="0084286B"/>
    <w:rsid w:val="008429FF"/>
    <w:rsid w:val="0084335C"/>
    <w:rsid w:val="0084336D"/>
    <w:rsid w:val="00843746"/>
    <w:rsid w:val="00843C3B"/>
    <w:rsid w:val="00843DCA"/>
    <w:rsid w:val="00843DFF"/>
    <w:rsid w:val="0084408F"/>
    <w:rsid w:val="008441EA"/>
    <w:rsid w:val="00844603"/>
    <w:rsid w:val="008446E4"/>
    <w:rsid w:val="00844768"/>
    <w:rsid w:val="00844C93"/>
    <w:rsid w:val="00844CF1"/>
    <w:rsid w:val="00844D8B"/>
    <w:rsid w:val="00845CAD"/>
    <w:rsid w:val="00845ECF"/>
    <w:rsid w:val="008467B1"/>
    <w:rsid w:val="008467F5"/>
    <w:rsid w:val="00846CEE"/>
    <w:rsid w:val="008470D4"/>
    <w:rsid w:val="00847100"/>
    <w:rsid w:val="00847124"/>
    <w:rsid w:val="008473FD"/>
    <w:rsid w:val="00847531"/>
    <w:rsid w:val="00847A8E"/>
    <w:rsid w:val="00847F85"/>
    <w:rsid w:val="008501D7"/>
    <w:rsid w:val="0085042B"/>
    <w:rsid w:val="0085075B"/>
    <w:rsid w:val="008507AE"/>
    <w:rsid w:val="00850CF4"/>
    <w:rsid w:val="0085125B"/>
    <w:rsid w:val="00851462"/>
    <w:rsid w:val="00851807"/>
    <w:rsid w:val="008519C7"/>
    <w:rsid w:val="00851F03"/>
    <w:rsid w:val="00851FF6"/>
    <w:rsid w:val="008521B4"/>
    <w:rsid w:val="00852413"/>
    <w:rsid w:val="008526DE"/>
    <w:rsid w:val="00852E20"/>
    <w:rsid w:val="0085321D"/>
    <w:rsid w:val="00853DA0"/>
    <w:rsid w:val="00853E86"/>
    <w:rsid w:val="00853EB5"/>
    <w:rsid w:val="00854129"/>
    <w:rsid w:val="0085420B"/>
    <w:rsid w:val="0085434D"/>
    <w:rsid w:val="0085446D"/>
    <w:rsid w:val="00854602"/>
    <w:rsid w:val="008547EF"/>
    <w:rsid w:val="00854DF0"/>
    <w:rsid w:val="008550EC"/>
    <w:rsid w:val="008553ED"/>
    <w:rsid w:val="00855959"/>
    <w:rsid w:val="0085611C"/>
    <w:rsid w:val="00856B17"/>
    <w:rsid w:val="00856DAB"/>
    <w:rsid w:val="008576E8"/>
    <w:rsid w:val="008604D0"/>
    <w:rsid w:val="00860A9E"/>
    <w:rsid w:val="00860BB7"/>
    <w:rsid w:val="008615CF"/>
    <w:rsid w:val="00861876"/>
    <w:rsid w:val="00861885"/>
    <w:rsid w:val="00861BF7"/>
    <w:rsid w:val="008627B0"/>
    <w:rsid w:val="0086296C"/>
    <w:rsid w:val="00862983"/>
    <w:rsid w:val="00862B35"/>
    <w:rsid w:val="00863822"/>
    <w:rsid w:val="00863A91"/>
    <w:rsid w:val="00863E3B"/>
    <w:rsid w:val="0086438E"/>
    <w:rsid w:val="00864833"/>
    <w:rsid w:val="008649EC"/>
    <w:rsid w:val="00864CFF"/>
    <w:rsid w:val="0086507F"/>
    <w:rsid w:val="008650B2"/>
    <w:rsid w:val="00865ABC"/>
    <w:rsid w:val="0086657D"/>
    <w:rsid w:val="00866B92"/>
    <w:rsid w:val="00866D7D"/>
    <w:rsid w:val="00867136"/>
    <w:rsid w:val="008679CE"/>
    <w:rsid w:val="00867B80"/>
    <w:rsid w:val="00867CF7"/>
    <w:rsid w:val="00867F6D"/>
    <w:rsid w:val="008701BF"/>
    <w:rsid w:val="00871371"/>
    <w:rsid w:val="00871897"/>
    <w:rsid w:val="008718CF"/>
    <w:rsid w:val="00871944"/>
    <w:rsid w:val="00871D2A"/>
    <w:rsid w:val="00871FC8"/>
    <w:rsid w:val="0087202A"/>
    <w:rsid w:val="00872114"/>
    <w:rsid w:val="00872466"/>
    <w:rsid w:val="008725F0"/>
    <w:rsid w:val="008730DF"/>
    <w:rsid w:val="00873662"/>
    <w:rsid w:val="00873D60"/>
    <w:rsid w:val="008743B4"/>
    <w:rsid w:val="0087491D"/>
    <w:rsid w:val="00874D1A"/>
    <w:rsid w:val="00874DEF"/>
    <w:rsid w:val="00874E10"/>
    <w:rsid w:val="00874EB0"/>
    <w:rsid w:val="0087557C"/>
    <w:rsid w:val="008756E2"/>
    <w:rsid w:val="00876013"/>
    <w:rsid w:val="00876094"/>
    <w:rsid w:val="008762E2"/>
    <w:rsid w:val="00876492"/>
    <w:rsid w:val="008764BD"/>
    <w:rsid w:val="008767C1"/>
    <w:rsid w:val="00876817"/>
    <w:rsid w:val="008769D5"/>
    <w:rsid w:val="00876A23"/>
    <w:rsid w:val="00876C53"/>
    <w:rsid w:val="008775B1"/>
    <w:rsid w:val="00877A81"/>
    <w:rsid w:val="00877B3F"/>
    <w:rsid w:val="00877DF1"/>
    <w:rsid w:val="00877F71"/>
    <w:rsid w:val="0088057F"/>
    <w:rsid w:val="00880889"/>
    <w:rsid w:val="0088099E"/>
    <w:rsid w:val="00880D2F"/>
    <w:rsid w:val="00880EE4"/>
    <w:rsid w:val="0088116E"/>
    <w:rsid w:val="008814EB"/>
    <w:rsid w:val="0088152A"/>
    <w:rsid w:val="00881798"/>
    <w:rsid w:val="008819A1"/>
    <w:rsid w:val="00882146"/>
    <w:rsid w:val="008824F3"/>
    <w:rsid w:val="0088264B"/>
    <w:rsid w:val="008829B9"/>
    <w:rsid w:val="00882FE5"/>
    <w:rsid w:val="00883162"/>
    <w:rsid w:val="00883378"/>
    <w:rsid w:val="00883395"/>
    <w:rsid w:val="00883421"/>
    <w:rsid w:val="00883555"/>
    <w:rsid w:val="00883817"/>
    <w:rsid w:val="00883D23"/>
    <w:rsid w:val="00883E56"/>
    <w:rsid w:val="00884284"/>
    <w:rsid w:val="00884510"/>
    <w:rsid w:val="00884618"/>
    <w:rsid w:val="0088486F"/>
    <w:rsid w:val="0088546E"/>
    <w:rsid w:val="00885897"/>
    <w:rsid w:val="00885C72"/>
    <w:rsid w:val="00885D01"/>
    <w:rsid w:val="00885D5D"/>
    <w:rsid w:val="00885D8D"/>
    <w:rsid w:val="00885E59"/>
    <w:rsid w:val="00885FA1"/>
    <w:rsid w:val="0088604E"/>
    <w:rsid w:val="0088622C"/>
    <w:rsid w:val="008862F5"/>
    <w:rsid w:val="00886352"/>
    <w:rsid w:val="0088642F"/>
    <w:rsid w:val="0088654B"/>
    <w:rsid w:val="008865CA"/>
    <w:rsid w:val="0088695B"/>
    <w:rsid w:val="00886CC8"/>
    <w:rsid w:val="00886D9D"/>
    <w:rsid w:val="00890124"/>
    <w:rsid w:val="0089099F"/>
    <w:rsid w:val="008909D6"/>
    <w:rsid w:val="00890A88"/>
    <w:rsid w:val="00890B7C"/>
    <w:rsid w:val="00891163"/>
    <w:rsid w:val="008913C5"/>
    <w:rsid w:val="008917C7"/>
    <w:rsid w:val="00891BBF"/>
    <w:rsid w:val="00891ED4"/>
    <w:rsid w:val="00891EF4"/>
    <w:rsid w:val="008920BB"/>
    <w:rsid w:val="00892141"/>
    <w:rsid w:val="008927E5"/>
    <w:rsid w:val="00893109"/>
    <w:rsid w:val="008935CD"/>
    <w:rsid w:val="00893616"/>
    <w:rsid w:val="008938BA"/>
    <w:rsid w:val="00894045"/>
    <w:rsid w:val="00894913"/>
    <w:rsid w:val="00894A94"/>
    <w:rsid w:val="00895C6A"/>
    <w:rsid w:val="008962C5"/>
    <w:rsid w:val="0089636D"/>
    <w:rsid w:val="00896D52"/>
    <w:rsid w:val="00896FEC"/>
    <w:rsid w:val="00897BD7"/>
    <w:rsid w:val="00897D84"/>
    <w:rsid w:val="008A0371"/>
    <w:rsid w:val="008A05EA"/>
    <w:rsid w:val="008A138E"/>
    <w:rsid w:val="008A1417"/>
    <w:rsid w:val="008A1435"/>
    <w:rsid w:val="008A15C7"/>
    <w:rsid w:val="008A178B"/>
    <w:rsid w:val="008A1F6A"/>
    <w:rsid w:val="008A2045"/>
    <w:rsid w:val="008A233F"/>
    <w:rsid w:val="008A23B5"/>
    <w:rsid w:val="008A2443"/>
    <w:rsid w:val="008A286A"/>
    <w:rsid w:val="008A2B15"/>
    <w:rsid w:val="008A2E32"/>
    <w:rsid w:val="008A3206"/>
    <w:rsid w:val="008A32CD"/>
    <w:rsid w:val="008A3911"/>
    <w:rsid w:val="008A3923"/>
    <w:rsid w:val="008A3E58"/>
    <w:rsid w:val="008A40EC"/>
    <w:rsid w:val="008A4564"/>
    <w:rsid w:val="008A49CF"/>
    <w:rsid w:val="008A4A18"/>
    <w:rsid w:val="008A53DD"/>
    <w:rsid w:val="008A55FD"/>
    <w:rsid w:val="008A56DB"/>
    <w:rsid w:val="008A5770"/>
    <w:rsid w:val="008A58A3"/>
    <w:rsid w:val="008A59C1"/>
    <w:rsid w:val="008A5CFC"/>
    <w:rsid w:val="008A6761"/>
    <w:rsid w:val="008A6B1E"/>
    <w:rsid w:val="008A6DB2"/>
    <w:rsid w:val="008A747C"/>
    <w:rsid w:val="008A7711"/>
    <w:rsid w:val="008A778E"/>
    <w:rsid w:val="008A7920"/>
    <w:rsid w:val="008B0197"/>
    <w:rsid w:val="008B0611"/>
    <w:rsid w:val="008B0612"/>
    <w:rsid w:val="008B07E1"/>
    <w:rsid w:val="008B09B6"/>
    <w:rsid w:val="008B0A5C"/>
    <w:rsid w:val="008B1E5C"/>
    <w:rsid w:val="008B1E6C"/>
    <w:rsid w:val="008B2106"/>
    <w:rsid w:val="008B260D"/>
    <w:rsid w:val="008B266C"/>
    <w:rsid w:val="008B2913"/>
    <w:rsid w:val="008B2997"/>
    <w:rsid w:val="008B2BF7"/>
    <w:rsid w:val="008B414E"/>
    <w:rsid w:val="008B422C"/>
    <w:rsid w:val="008B4651"/>
    <w:rsid w:val="008B465D"/>
    <w:rsid w:val="008B4812"/>
    <w:rsid w:val="008B48F8"/>
    <w:rsid w:val="008B4C59"/>
    <w:rsid w:val="008B4D61"/>
    <w:rsid w:val="008B4E16"/>
    <w:rsid w:val="008B5088"/>
    <w:rsid w:val="008B5202"/>
    <w:rsid w:val="008B520E"/>
    <w:rsid w:val="008B5CD0"/>
    <w:rsid w:val="008B6220"/>
    <w:rsid w:val="008B6534"/>
    <w:rsid w:val="008B666D"/>
    <w:rsid w:val="008B6A73"/>
    <w:rsid w:val="008B6C98"/>
    <w:rsid w:val="008B7715"/>
    <w:rsid w:val="008B78C4"/>
    <w:rsid w:val="008B7B00"/>
    <w:rsid w:val="008C0269"/>
    <w:rsid w:val="008C040B"/>
    <w:rsid w:val="008C0D81"/>
    <w:rsid w:val="008C0F5C"/>
    <w:rsid w:val="008C1131"/>
    <w:rsid w:val="008C1233"/>
    <w:rsid w:val="008C12A2"/>
    <w:rsid w:val="008C12EF"/>
    <w:rsid w:val="008C13D2"/>
    <w:rsid w:val="008C1633"/>
    <w:rsid w:val="008C1659"/>
    <w:rsid w:val="008C16B6"/>
    <w:rsid w:val="008C196D"/>
    <w:rsid w:val="008C1AC2"/>
    <w:rsid w:val="008C1AFD"/>
    <w:rsid w:val="008C2284"/>
    <w:rsid w:val="008C27A0"/>
    <w:rsid w:val="008C27C8"/>
    <w:rsid w:val="008C2A1D"/>
    <w:rsid w:val="008C371B"/>
    <w:rsid w:val="008C3875"/>
    <w:rsid w:val="008C3A12"/>
    <w:rsid w:val="008C3CCD"/>
    <w:rsid w:val="008C3D15"/>
    <w:rsid w:val="008C3D6E"/>
    <w:rsid w:val="008C3F32"/>
    <w:rsid w:val="008C44FF"/>
    <w:rsid w:val="008C462B"/>
    <w:rsid w:val="008C46C9"/>
    <w:rsid w:val="008C4960"/>
    <w:rsid w:val="008C4AE5"/>
    <w:rsid w:val="008C51F5"/>
    <w:rsid w:val="008C57BD"/>
    <w:rsid w:val="008C58FC"/>
    <w:rsid w:val="008C5A16"/>
    <w:rsid w:val="008C6471"/>
    <w:rsid w:val="008C6888"/>
    <w:rsid w:val="008C6984"/>
    <w:rsid w:val="008C7085"/>
    <w:rsid w:val="008C7581"/>
    <w:rsid w:val="008C7979"/>
    <w:rsid w:val="008C7ABE"/>
    <w:rsid w:val="008D043E"/>
    <w:rsid w:val="008D155F"/>
    <w:rsid w:val="008D16D5"/>
    <w:rsid w:val="008D1CA7"/>
    <w:rsid w:val="008D24AA"/>
    <w:rsid w:val="008D32D4"/>
    <w:rsid w:val="008D3731"/>
    <w:rsid w:val="008D3841"/>
    <w:rsid w:val="008D41A2"/>
    <w:rsid w:val="008D41F0"/>
    <w:rsid w:val="008D4800"/>
    <w:rsid w:val="008D4D95"/>
    <w:rsid w:val="008D4F29"/>
    <w:rsid w:val="008D5184"/>
    <w:rsid w:val="008D51CA"/>
    <w:rsid w:val="008D53AF"/>
    <w:rsid w:val="008D5464"/>
    <w:rsid w:val="008D5529"/>
    <w:rsid w:val="008D5ABF"/>
    <w:rsid w:val="008D5BDF"/>
    <w:rsid w:val="008D5D62"/>
    <w:rsid w:val="008D62CF"/>
    <w:rsid w:val="008D64DD"/>
    <w:rsid w:val="008D65F2"/>
    <w:rsid w:val="008D6DB6"/>
    <w:rsid w:val="008D75CE"/>
    <w:rsid w:val="008D774C"/>
    <w:rsid w:val="008D7C36"/>
    <w:rsid w:val="008D7D5B"/>
    <w:rsid w:val="008D7FD0"/>
    <w:rsid w:val="008E02FC"/>
    <w:rsid w:val="008E06C3"/>
    <w:rsid w:val="008E06DE"/>
    <w:rsid w:val="008E09F7"/>
    <w:rsid w:val="008E0A22"/>
    <w:rsid w:val="008E0AA3"/>
    <w:rsid w:val="008E0D39"/>
    <w:rsid w:val="008E1289"/>
    <w:rsid w:val="008E15CB"/>
    <w:rsid w:val="008E1905"/>
    <w:rsid w:val="008E2519"/>
    <w:rsid w:val="008E2A2F"/>
    <w:rsid w:val="008E2B77"/>
    <w:rsid w:val="008E3689"/>
    <w:rsid w:val="008E3A0D"/>
    <w:rsid w:val="008E3BCC"/>
    <w:rsid w:val="008E40A3"/>
    <w:rsid w:val="008E43D4"/>
    <w:rsid w:val="008E4B99"/>
    <w:rsid w:val="008E5031"/>
    <w:rsid w:val="008E5040"/>
    <w:rsid w:val="008E5092"/>
    <w:rsid w:val="008E51FD"/>
    <w:rsid w:val="008E59E3"/>
    <w:rsid w:val="008E6260"/>
    <w:rsid w:val="008E648B"/>
    <w:rsid w:val="008E65A3"/>
    <w:rsid w:val="008E6C6A"/>
    <w:rsid w:val="008E7023"/>
    <w:rsid w:val="008E730F"/>
    <w:rsid w:val="008E74D7"/>
    <w:rsid w:val="008E783D"/>
    <w:rsid w:val="008F011B"/>
    <w:rsid w:val="008F0631"/>
    <w:rsid w:val="008F0AF5"/>
    <w:rsid w:val="008F0CCE"/>
    <w:rsid w:val="008F11BB"/>
    <w:rsid w:val="008F1297"/>
    <w:rsid w:val="008F1B78"/>
    <w:rsid w:val="008F1EE5"/>
    <w:rsid w:val="008F1F0B"/>
    <w:rsid w:val="008F2FA4"/>
    <w:rsid w:val="008F324A"/>
    <w:rsid w:val="008F3B94"/>
    <w:rsid w:val="008F4B78"/>
    <w:rsid w:val="008F541E"/>
    <w:rsid w:val="008F54ED"/>
    <w:rsid w:val="008F5F82"/>
    <w:rsid w:val="008F6466"/>
    <w:rsid w:val="008F67CF"/>
    <w:rsid w:val="008F68D4"/>
    <w:rsid w:val="008F68E5"/>
    <w:rsid w:val="008F6E57"/>
    <w:rsid w:val="008F79F5"/>
    <w:rsid w:val="008F7BD4"/>
    <w:rsid w:val="00900628"/>
    <w:rsid w:val="00900659"/>
    <w:rsid w:val="00900BBB"/>
    <w:rsid w:val="00900C9A"/>
    <w:rsid w:val="00900CDB"/>
    <w:rsid w:val="00900EA1"/>
    <w:rsid w:val="00901618"/>
    <w:rsid w:val="00901FEE"/>
    <w:rsid w:val="009020C2"/>
    <w:rsid w:val="00902615"/>
    <w:rsid w:val="009026D3"/>
    <w:rsid w:val="009029CB"/>
    <w:rsid w:val="00902BFF"/>
    <w:rsid w:val="00902C6F"/>
    <w:rsid w:val="009033A0"/>
    <w:rsid w:val="00903402"/>
    <w:rsid w:val="0090367D"/>
    <w:rsid w:val="00903CC5"/>
    <w:rsid w:val="009046E9"/>
    <w:rsid w:val="00904980"/>
    <w:rsid w:val="00904E87"/>
    <w:rsid w:val="009051D4"/>
    <w:rsid w:val="00905379"/>
    <w:rsid w:val="0090580C"/>
    <w:rsid w:val="00905E38"/>
    <w:rsid w:val="00905FEF"/>
    <w:rsid w:val="00906AD6"/>
    <w:rsid w:val="00906F75"/>
    <w:rsid w:val="00907343"/>
    <w:rsid w:val="009073C7"/>
    <w:rsid w:val="00907AF3"/>
    <w:rsid w:val="00910185"/>
    <w:rsid w:val="00910496"/>
    <w:rsid w:val="00910604"/>
    <w:rsid w:val="00910950"/>
    <w:rsid w:val="00910BD4"/>
    <w:rsid w:val="00910D1A"/>
    <w:rsid w:val="00911212"/>
    <w:rsid w:val="00911245"/>
    <w:rsid w:val="00911A58"/>
    <w:rsid w:val="00911AFB"/>
    <w:rsid w:val="00911B48"/>
    <w:rsid w:val="009120DA"/>
    <w:rsid w:val="00912670"/>
    <w:rsid w:val="009129F1"/>
    <w:rsid w:val="009129F4"/>
    <w:rsid w:val="00912A83"/>
    <w:rsid w:val="00912ED2"/>
    <w:rsid w:val="00912FAC"/>
    <w:rsid w:val="0091393D"/>
    <w:rsid w:val="0091399D"/>
    <w:rsid w:val="00913BFB"/>
    <w:rsid w:val="009140C9"/>
    <w:rsid w:val="009148A6"/>
    <w:rsid w:val="00915276"/>
    <w:rsid w:val="00915451"/>
    <w:rsid w:val="0091552D"/>
    <w:rsid w:val="00916815"/>
    <w:rsid w:val="0091686D"/>
    <w:rsid w:val="0091700B"/>
    <w:rsid w:val="0091744A"/>
    <w:rsid w:val="00917481"/>
    <w:rsid w:val="00917575"/>
    <w:rsid w:val="009176BA"/>
    <w:rsid w:val="00917836"/>
    <w:rsid w:val="00917A78"/>
    <w:rsid w:val="00917EA6"/>
    <w:rsid w:val="009200A3"/>
    <w:rsid w:val="009201C9"/>
    <w:rsid w:val="00920317"/>
    <w:rsid w:val="009206FD"/>
    <w:rsid w:val="00921092"/>
    <w:rsid w:val="009216B6"/>
    <w:rsid w:val="00921825"/>
    <w:rsid w:val="00921F74"/>
    <w:rsid w:val="0092201D"/>
    <w:rsid w:val="009221F5"/>
    <w:rsid w:val="00922205"/>
    <w:rsid w:val="0092286E"/>
    <w:rsid w:val="00922B70"/>
    <w:rsid w:val="00922E0E"/>
    <w:rsid w:val="00922ED1"/>
    <w:rsid w:val="00923529"/>
    <w:rsid w:val="00923763"/>
    <w:rsid w:val="00923773"/>
    <w:rsid w:val="00923A46"/>
    <w:rsid w:val="00923EB7"/>
    <w:rsid w:val="009240BA"/>
    <w:rsid w:val="00924896"/>
    <w:rsid w:val="00924912"/>
    <w:rsid w:val="00924D15"/>
    <w:rsid w:val="00925CD6"/>
    <w:rsid w:val="009264B9"/>
    <w:rsid w:val="00926D3C"/>
    <w:rsid w:val="009272FD"/>
    <w:rsid w:val="0092776B"/>
    <w:rsid w:val="0092778C"/>
    <w:rsid w:val="00927A02"/>
    <w:rsid w:val="00927AE5"/>
    <w:rsid w:val="00927D68"/>
    <w:rsid w:val="00927EBC"/>
    <w:rsid w:val="0093002E"/>
    <w:rsid w:val="009300B7"/>
    <w:rsid w:val="009303E1"/>
    <w:rsid w:val="0093097C"/>
    <w:rsid w:val="00930F75"/>
    <w:rsid w:val="009310D6"/>
    <w:rsid w:val="0093140F"/>
    <w:rsid w:val="00931632"/>
    <w:rsid w:val="0093170B"/>
    <w:rsid w:val="00931964"/>
    <w:rsid w:val="009326B9"/>
    <w:rsid w:val="009328B3"/>
    <w:rsid w:val="00932968"/>
    <w:rsid w:val="009334AF"/>
    <w:rsid w:val="0093369C"/>
    <w:rsid w:val="00933AEF"/>
    <w:rsid w:val="00933D26"/>
    <w:rsid w:val="009349C5"/>
    <w:rsid w:val="00934B43"/>
    <w:rsid w:val="009356E6"/>
    <w:rsid w:val="00935825"/>
    <w:rsid w:val="00935A92"/>
    <w:rsid w:val="009360CA"/>
    <w:rsid w:val="00936322"/>
    <w:rsid w:val="00936380"/>
    <w:rsid w:val="00936ED1"/>
    <w:rsid w:val="00937BFB"/>
    <w:rsid w:val="00937D11"/>
    <w:rsid w:val="009400E6"/>
    <w:rsid w:val="009402EE"/>
    <w:rsid w:val="009414DD"/>
    <w:rsid w:val="0094160A"/>
    <w:rsid w:val="0094168C"/>
    <w:rsid w:val="009416B7"/>
    <w:rsid w:val="00942040"/>
    <w:rsid w:val="0094232C"/>
    <w:rsid w:val="00942543"/>
    <w:rsid w:val="00943080"/>
    <w:rsid w:val="00943092"/>
    <w:rsid w:val="00943714"/>
    <w:rsid w:val="009438BC"/>
    <w:rsid w:val="00943C6A"/>
    <w:rsid w:val="009448C1"/>
    <w:rsid w:val="00944997"/>
    <w:rsid w:val="00944AC9"/>
    <w:rsid w:val="0094536F"/>
    <w:rsid w:val="00945375"/>
    <w:rsid w:val="00945BA1"/>
    <w:rsid w:val="00945C23"/>
    <w:rsid w:val="00946430"/>
    <w:rsid w:val="0094720A"/>
    <w:rsid w:val="00947686"/>
    <w:rsid w:val="009476C0"/>
    <w:rsid w:val="00947ECE"/>
    <w:rsid w:val="0095036E"/>
    <w:rsid w:val="009505D9"/>
    <w:rsid w:val="00950A68"/>
    <w:rsid w:val="00950B50"/>
    <w:rsid w:val="00950F5D"/>
    <w:rsid w:val="0095106C"/>
    <w:rsid w:val="00951200"/>
    <w:rsid w:val="00951323"/>
    <w:rsid w:val="00951951"/>
    <w:rsid w:val="00951CB6"/>
    <w:rsid w:val="00951F08"/>
    <w:rsid w:val="00951F6B"/>
    <w:rsid w:val="00952006"/>
    <w:rsid w:val="009521E6"/>
    <w:rsid w:val="009522ED"/>
    <w:rsid w:val="00952354"/>
    <w:rsid w:val="00952632"/>
    <w:rsid w:val="00952697"/>
    <w:rsid w:val="00952E82"/>
    <w:rsid w:val="0095310E"/>
    <w:rsid w:val="009532FB"/>
    <w:rsid w:val="009537B3"/>
    <w:rsid w:val="00953E86"/>
    <w:rsid w:val="009540D4"/>
    <w:rsid w:val="0095482D"/>
    <w:rsid w:val="00954AF8"/>
    <w:rsid w:val="00954C3B"/>
    <w:rsid w:val="00954D60"/>
    <w:rsid w:val="0095524C"/>
    <w:rsid w:val="009557DF"/>
    <w:rsid w:val="00955980"/>
    <w:rsid w:val="009559B6"/>
    <w:rsid w:val="00956428"/>
    <w:rsid w:val="009565B8"/>
    <w:rsid w:val="009565C0"/>
    <w:rsid w:val="009565EF"/>
    <w:rsid w:val="00956858"/>
    <w:rsid w:val="009568C3"/>
    <w:rsid w:val="00957A8E"/>
    <w:rsid w:val="00957B91"/>
    <w:rsid w:val="00957CCE"/>
    <w:rsid w:val="009606AF"/>
    <w:rsid w:val="00960919"/>
    <w:rsid w:val="00960D8A"/>
    <w:rsid w:val="00961311"/>
    <w:rsid w:val="0096145F"/>
    <w:rsid w:val="00961859"/>
    <w:rsid w:val="00961FBA"/>
    <w:rsid w:val="0096297A"/>
    <w:rsid w:val="00962AAA"/>
    <w:rsid w:val="00962F42"/>
    <w:rsid w:val="0096320D"/>
    <w:rsid w:val="009636F1"/>
    <w:rsid w:val="009639F5"/>
    <w:rsid w:val="00963B6D"/>
    <w:rsid w:val="00963D40"/>
    <w:rsid w:val="00963D9B"/>
    <w:rsid w:val="009640CA"/>
    <w:rsid w:val="00964176"/>
    <w:rsid w:val="0096453E"/>
    <w:rsid w:val="0096466D"/>
    <w:rsid w:val="00964CD3"/>
    <w:rsid w:val="0096515D"/>
    <w:rsid w:val="00965166"/>
    <w:rsid w:val="009654B4"/>
    <w:rsid w:val="00965564"/>
    <w:rsid w:val="0096573B"/>
    <w:rsid w:val="00966355"/>
    <w:rsid w:val="00966778"/>
    <w:rsid w:val="009668F2"/>
    <w:rsid w:val="00966A0C"/>
    <w:rsid w:val="00966F2A"/>
    <w:rsid w:val="0096767E"/>
    <w:rsid w:val="009676E1"/>
    <w:rsid w:val="009678E9"/>
    <w:rsid w:val="00970121"/>
    <w:rsid w:val="009701D4"/>
    <w:rsid w:val="0097038D"/>
    <w:rsid w:val="00970ED5"/>
    <w:rsid w:val="00970F86"/>
    <w:rsid w:val="00971868"/>
    <w:rsid w:val="00971CD1"/>
    <w:rsid w:val="00971D47"/>
    <w:rsid w:val="00971D79"/>
    <w:rsid w:val="00971ECD"/>
    <w:rsid w:val="0097211C"/>
    <w:rsid w:val="009721BE"/>
    <w:rsid w:val="0097235B"/>
    <w:rsid w:val="00973100"/>
    <w:rsid w:val="00973782"/>
    <w:rsid w:val="00974149"/>
    <w:rsid w:val="00974A3C"/>
    <w:rsid w:val="00974D48"/>
    <w:rsid w:val="00974D5B"/>
    <w:rsid w:val="00974FCD"/>
    <w:rsid w:val="009756FF"/>
    <w:rsid w:val="00975A8C"/>
    <w:rsid w:val="00976562"/>
    <w:rsid w:val="00976CE2"/>
    <w:rsid w:val="00977652"/>
    <w:rsid w:val="0097797A"/>
    <w:rsid w:val="00980139"/>
    <w:rsid w:val="00980AD7"/>
    <w:rsid w:val="00980D44"/>
    <w:rsid w:val="0098101B"/>
    <w:rsid w:val="009810F1"/>
    <w:rsid w:val="009810FD"/>
    <w:rsid w:val="009816B8"/>
    <w:rsid w:val="00981DC2"/>
    <w:rsid w:val="00981E93"/>
    <w:rsid w:val="009823E8"/>
    <w:rsid w:val="00982A99"/>
    <w:rsid w:val="009831C5"/>
    <w:rsid w:val="00983A9F"/>
    <w:rsid w:val="00983B5A"/>
    <w:rsid w:val="00983B8C"/>
    <w:rsid w:val="00983C8D"/>
    <w:rsid w:val="00983D19"/>
    <w:rsid w:val="00983E25"/>
    <w:rsid w:val="0098416B"/>
    <w:rsid w:val="00984410"/>
    <w:rsid w:val="00984508"/>
    <w:rsid w:val="00984ABD"/>
    <w:rsid w:val="00984D92"/>
    <w:rsid w:val="009854C3"/>
    <w:rsid w:val="00985995"/>
    <w:rsid w:val="00986519"/>
    <w:rsid w:val="0098656F"/>
    <w:rsid w:val="009866F6"/>
    <w:rsid w:val="00986AD7"/>
    <w:rsid w:val="00986E81"/>
    <w:rsid w:val="00987123"/>
    <w:rsid w:val="009871A7"/>
    <w:rsid w:val="009878F6"/>
    <w:rsid w:val="00987F22"/>
    <w:rsid w:val="00990167"/>
    <w:rsid w:val="009901F1"/>
    <w:rsid w:val="009903FB"/>
    <w:rsid w:val="00990973"/>
    <w:rsid w:val="00990B4D"/>
    <w:rsid w:val="0099131D"/>
    <w:rsid w:val="0099161F"/>
    <w:rsid w:val="00991925"/>
    <w:rsid w:val="009919EE"/>
    <w:rsid w:val="00991CA4"/>
    <w:rsid w:val="009923EA"/>
    <w:rsid w:val="0099295A"/>
    <w:rsid w:val="00992FEC"/>
    <w:rsid w:val="009932E0"/>
    <w:rsid w:val="00993BB0"/>
    <w:rsid w:val="00993E8C"/>
    <w:rsid w:val="00994284"/>
    <w:rsid w:val="009946C5"/>
    <w:rsid w:val="00995654"/>
    <w:rsid w:val="00995729"/>
    <w:rsid w:val="00995785"/>
    <w:rsid w:val="009964C8"/>
    <w:rsid w:val="00996B75"/>
    <w:rsid w:val="00997ACE"/>
    <w:rsid w:val="00997DAE"/>
    <w:rsid w:val="00997FF5"/>
    <w:rsid w:val="009A023C"/>
    <w:rsid w:val="009A06DC"/>
    <w:rsid w:val="009A10DF"/>
    <w:rsid w:val="009A1A5E"/>
    <w:rsid w:val="009A1EBB"/>
    <w:rsid w:val="009A2015"/>
    <w:rsid w:val="009A210C"/>
    <w:rsid w:val="009A2202"/>
    <w:rsid w:val="009A221F"/>
    <w:rsid w:val="009A2717"/>
    <w:rsid w:val="009A2D4B"/>
    <w:rsid w:val="009A2FE2"/>
    <w:rsid w:val="009A3636"/>
    <w:rsid w:val="009A3B8F"/>
    <w:rsid w:val="009A422D"/>
    <w:rsid w:val="009A44E1"/>
    <w:rsid w:val="009A4809"/>
    <w:rsid w:val="009A4813"/>
    <w:rsid w:val="009A49F3"/>
    <w:rsid w:val="009A4A6B"/>
    <w:rsid w:val="009A52F2"/>
    <w:rsid w:val="009A5A9F"/>
    <w:rsid w:val="009A5ACF"/>
    <w:rsid w:val="009A5ECB"/>
    <w:rsid w:val="009A5F8A"/>
    <w:rsid w:val="009A6563"/>
    <w:rsid w:val="009A6950"/>
    <w:rsid w:val="009A6AC0"/>
    <w:rsid w:val="009A7205"/>
    <w:rsid w:val="009A7619"/>
    <w:rsid w:val="009A768B"/>
    <w:rsid w:val="009A7A7C"/>
    <w:rsid w:val="009A7ABD"/>
    <w:rsid w:val="009B02EE"/>
    <w:rsid w:val="009B07F0"/>
    <w:rsid w:val="009B08DA"/>
    <w:rsid w:val="009B0B7F"/>
    <w:rsid w:val="009B13AF"/>
    <w:rsid w:val="009B1B00"/>
    <w:rsid w:val="009B209C"/>
    <w:rsid w:val="009B20DD"/>
    <w:rsid w:val="009B2379"/>
    <w:rsid w:val="009B239F"/>
    <w:rsid w:val="009B24BC"/>
    <w:rsid w:val="009B2826"/>
    <w:rsid w:val="009B2948"/>
    <w:rsid w:val="009B2F36"/>
    <w:rsid w:val="009B32A8"/>
    <w:rsid w:val="009B34B1"/>
    <w:rsid w:val="009B370E"/>
    <w:rsid w:val="009B38E8"/>
    <w:rsid w:val="009B3ED7"/>
    <w:rsid w:val="009B4387"/>
    <w:rsid w:val="009B4851"/>
    <w:rsid w:val="009B4A2D"/>
    <w:rsid w:val="009B4C41"/>
    <w:rsid w:val="009B530B"/>
    <w:rsid w:val="009B595F"/>
    <w:rsid w:val="009B5F9E"/>
    <w:rsid w:val="009B60A6"/>
    <w:rsid w:val="009B64BF"/>
    <w:rsid w:val="009B7252"/>
    <w:rsid w:val="009B7DE4"/>
    <w:rsid w:val="009B7DE6"/>
    <w:rsid w:val="009C02A4"/>
    <w:rsid w:val="009C0396"/>
    <w:rsid w:val="009C0603"/>
    <w:rsid w:val="009C08D0"/>
    <w:rsid w:val="009C0CE4"/>
    <w:rsid w:val="009C1285"/>
    <w:rsid w:val="009C2EB0"/>
    <w:rsid w:val="009C33C6"/>
    <w:rsid w:val="009C3569"/>
    <w:rsid w:val="009C3A08"/>
    <w:rsid w:val="009C3C53"/>
    <w:rsid w:val="009C418E"/>
    <w:rsid w:val="009C4AE8"/>
    <w:rsid w:val="009C4FAD"/>
    <w:rsid w:val="009C5070"/>
    <w:rsid w:val="009C5232"/>
    <w:rsid w:val="009C54C8"/>
    <w:rsid w:val="009C5969"/>
    <w:rsid w:val="009C60BB"/>
    <w:rsid w:val="009C64C8"/>
    <w:rsid w:val="009C6609"/>
    <w:rsid w:val="009C7082"/>
    <w:rsid w:val="009C74CE"/>
    <w:rsid w:val="009C7BC3"/>
    <w:rsid w:val="009C7C40"/>
    <w:rsid w:val="009C7E95"/>
    <w:rsid w:val="009D00BF"/>
    <w:rsid w:val="009D07B2"/>
    <w:rsid w:val="009D0DBE"/>
    <w:rsid w:val="009D139A"/>
    <w:rsid w:val="009D13D5"/>
    <w:rsid w:val="009D15AD"/>
    <w:rsid w:val="009D1E85"/>
    <w:rsid w:val="009D20E3"/>
    <w:rsid w:val="009D2801"/>
    <w:rsid w:val="009D2FC7"/>
    <w:rsid w:val="009D3186"/>
    <w:rsid w:val="009D32A7"/>
    <w:rsid w:val="009D3C23"/>
    <w:rsid w:val="009D431D"/>
    <w:rsid w:val="009D4462"/>
    <w:rsid w:val="009D5047"/>
    <w:rsid w:val="009D564C"/>
    <w:rsid w:val="009D58AE"/>
    <w:rsid w:val="009D6695"/>
    <w:rsid w:val="009D6C03"/>
    <w:rsid w:val="009D6C90"/>
    <w:rsid w:val="009D786B"/>
    <w:rsid w:val="009D7C79"/>
    <w:rsid w:val="009D7E3E"/>
    <w:rsid w:val="009E0163"/>
    <w:rsid w:val="009E0202"/>
    <w:rsid w:val="009E02A7"/>
    <w:rsid w:val="009E0605"/>
    <w:rsid w:val="009E0738"/>
    <w:rsid w:val="009E0EFC"/>
    <w:rsid w:val="009E0F2F"/>
    <w:rsid w:val="009E152D"/>
    <w:rsid w:val="009E193C"/>
    <w:rsid w:val="009E1943"/>
    <w:rsid w:val="009E1B5E"/>
    <w:rsid w:val="009E21D2"/>
    <w:rsid w:val="009E28B0"/>
    <w:rsid w:val="009E2AFF"/>
    <w:rsid w:val="009E2B7C"/>
    <w:rsid w:val="009E303C"/>
    <w:rsid w:val="009E32E2"/>
    <w:rsid w:val="009E352A"/>
    <w:rsid w:val="009E37F8"/>
    <w:rsid w:val="009E391B"/>
    <w:rsid w:val="009E3C38"/>
    <w:rsid w:val="009E4850"/>
    <w:rsid w:val="009E4F1B"/>
    <w:rsid w:val="009E4FBD"/>
    <w:rsid w:val="009E4FFA"/>
    <w:rsid w:val="009E512F"/>
    <w:rsid w:val="009E5233"/>
    <w:rsid w:val="009E5BBC"/>
    <w:rsid w:val="009E5C20"/>
    <w:rsid w:val="009E6034"/>
    <w:rsid w:val="009E63FE"/>
    <w:rsid w:val="009E66B6"/>
    <w:rsid w:val="009E69B0"/>
    <w:rsid w:val="009E6BA7"/>
    <w:rsid w:val="009E6D90"/>
    <w:rsid w:val="009E709E"/>
    <w:rsid w:val="009E75EE"/>
    <w:rsid w:val="009E76E3"/>
    <w:rsid w:val="009E79B1"/>
    <w:rsid w:val="009E7B67"/>
    <w:rsid w:val="009E7DA8"/>
    <w:rsid w:val="009F05D9"/>
    <w:rsid w:val="009F09BB"/>
    <w:rsid w:val="009F0A98"/>
    <w:rsid w:val="009F172E"/>
    <w:rsid w:val="009F1A76"/>
    <w:rsid w:val="009F1B96"/>
    <w:rsid w:val="009F1EDE"/>
    <w:rsid w:val="009F2013"/>
    <w:rsid w:val="009F21E7"/>
    <w:rsid w:val="009F227C"/>
    <w:rsid w:val="009F2767"/>
    <w:rsid w:val="009F293C"/>
    <w:rsid w:val="009F2B14"/>
    <w:rsid w:val="009F2B33"/>
    <w:rsid w:val="009F2EAE"/>
    <w:rsid w:val="009F30C3"/>
    <w:rsid w:val="009F326B"/>
    <w:rsid w:val="009F35C1"/>
    <w:rsid w:val="009F3832"/>
    <w:rsid w:val="009F3965"/>
    <w:rsid w:val="009F3988"/>
    <w:rsid w:val="009F3C37"/>
    <w:rsid w:val="009F43BA"/>
    <w:rsid w:val="009F4447"/>
    <w:rsid w:val="009F4494"/>
    <w:rsid w:val="009F4A79"/>
    <w:rsid w:val="009F4BA4"/>
    <w:rsid w:val="009F5112"/>
    <w:rsid w:val="009F5BCB"/>
    <w:rsid w:val="009F5E77"/>
    <w:rsid w:val="009F6522"/>
    <w:rsid w:val="009F688F"/>
    <w:rsid w:val="009F77FE"/>
    <w:rsid w:val="009F7E45"/>
    <w:rsid w:val="00A0002E"/>
    <w:rsid w:val="00A00C1A"/>
    <w:rsid w:val="00A011BD"/>
    <w:rsid w:val="00A01416"/>
    <w:rsid w:val="00A0158F"/>
    <w:rsid w:val="00A019C0"/>
    <w:rsid w:val="00A019F7"/>
    <w:rsid w:val="00A0261E"/>
    <w:rsid w:val="00A03680"/>
    <w:rsid w:val="00A03D2E"/>
    <w:rsid w:val="00A03E22"/>
    <w:rsid w:val="00A04055"/>
    <w:rsid w:val="00A040FD"/>
    <w:rsid w:val="00A04142"/>
    <w:rsid w:val="00A04228"/>
    <w:rsid w:val="00A046C2"/>
    <w:rsid w:val="00A04FAA"/>
    <w:rsid w:val="00A05169"/>
    <w:rsid w:val="00A05170"/>
    <w:rsid w:val="00A0520F"/>
    <w:rsid w:val="00A0602A"/>
    <w:rsid w:val="00A0671A"/>
    <w:rsid w:val="00A0677B"/>
    <w:rsid w:val="00A06A10"/>
    <w:rsid w:val="00A06A4C"/>
    <w:rsid w:val="00A06B70"/>
    <w:rsid w:val="00A06BF9"/>
    <w:rsid w:val="00A06E2E"/>
    <w:rsid w:val="00A06ECA"/>
    <w:rsid w:val="00A07133"/>
    <w:rsid w:val="00A07A6D"/>
    <w:rsid w:val="00A10A2C"/>
    <w:rsid w:val="00A10C3A"/>
    <w:rsid w:val="00A10D93"/>
    <w:rsid w:val="00A1102C"/>
    <w:rsid w:val="00A114D2"/>
    <w:rsid w:val="00A1264D"/>
    <w:rsid w:val="00A12E02"/>
    <w:rsid w:val="00A135FE"/>
    <w:rsid w:val="00A13925"/>
    <w:rsid w:val="00A13A13"/>
    <w:rsid w:val="00A13B56"/>
    <w:rsid w:val="00A13F5C"/>
    <w:rsid w:val="00A13F9A"/>
    <w:rsid w:val="00A14889"/>
    <w:rsid w:val="00A14F4D"/>
    <w:rsid w:val="00A153A3"/>
    <w:rsid w:val="00A1599E"/>
    <w:rsid w:val="00A15AFD"/>
    <w:rsid w:val="00A15B54"/>
    <w:rsid w:val="00A16181"/>
    <w:rsid w:val="00A161E0"/>
    <w:rsid w:val="00A164B2"/>
    <w:rsid w:val="00A1691A"/>
    <w:rsid w:val="00A16BED"/>
    <w:rsid w:val="00A16EBC"/>
    <w:rsid w:val="00A1703D"/>
    <w:rsid w:val="00A17438"/>
    <w:rsid w:val="00A17B3A"/>
    <w:rsid w:val="00A17FA0"/>
    <w:rsid w:val="00A20223"/>
    <w:rsid w:val="00A2046D"/>
    <w:rsid w:val="00A206B1"/>
    <w:rsid w:val="00A206F4"/>
    <w:rsid w:val="00A20DA4"/>
    <w:rsid w:val="00A20F23"/>
    <w:rsid w:val="00A20FB5"/>
    <w:rsid w:val="00A212B0"/>
    <w:rsid w:val="00A214C6"/>
    <w:rsid w:val="00A2155A"/>
    <w:rsid w:val="00A21DB3"/>
    <w:rsid w:val="00A220C7"/>
    <w:rsid w:val="00A22113"/>
    <w:rsid w:val="00A22DD2"/>
    <w:rsid w:val="00A22FC0"/>
    <w:rsid w:val="00A231B0"/>
    <w:rsid w:val="00A237EC"/>
    <w:rsid w:val="00A2382B"/>
    <w:rsid w:val="00A24052"/>
    <w:rsid w:val="00A24086"/>
    <w:rsid w:val="00A2413D"/>
    <w:rsid w:val="00A25CC9"/>
    <w:rsid w:val="00A25F7B"/>
    <w:rsid w:val="00A25FFF"/>
    <w:rsid w:val="00A26024"/>
    <w:rsid w:val="00A26258"/>
    <w:rsid w:val="00A263A8"/>
    <w:rsid w:val="00A263F9"/>
    <w:rsid w:val="00A26560"/>
    <w:rsid w:val="00A2675F"/>
    <w:rsid w:val="00A26875"/>
    <w:rsid w:val="00A26AFB"/>
    <w:rsid w:val="00A26B68"/>
    <w:rsid w:val="00A26C40"/>
    <w:rsid w:val="00A26C4F"/>
    <w:rsid w:val="00A26F18"/>
    <w:rsid w:val="00A273BE"/>
    <w:rsid w:val="00A273F8"/>
    <w:rsid w:val="00A275C7"/>
    <w:rsid w:val="00A27841"/>
    <w:rsid w:val="00A27B6F"/>
    <w:rsid w:val="00A27DAE"/>
    <w:rsid w:val="00A27DC7"/>
    <w:rsid w:val="00A27EF6"/>
    <w:rsid w:val="00A27FAD"/>
    <w:rsid w:val="00A3002A"/>
    <w:rsid w:val="00A300D5"/>
    <w:rsid w:val="00A300FB"/>
    <w:rsid w:val="00A3017A"/>
    <w:rsid w:val="00A301C7"/>
    <w:rsid w:val="00A30231"/>
    <w:rsid w:val="00A303AF"/>
    <w:rsid w:val="00A30584"/>
    <w:rsid w:val="00A305F3"/>
    <w:rsid w:val="00A30A21"/>
    <w:rsid w:val="00A30BA2"/>
    <w:rsid w:val="00A30CAC"/>
    <w:rsid w:val="00A30CFD"/>
    <w:rsid w:val="00A31145"/>
    <w:rsid w:val="00A3118D"/>
    <w:rsid w:val="00A314CB"/>
    <w:rsid w:val="00A31C05"/>
    <w:rsid w:val="00A31DF8"/>
    <w:rsid w:val="00A31EEC"/>
    <w:rsid w:val="00A32961"/>
    <w:rsid w:val="00A329C6"/>
    <w:rsid w:val="00A3365A"/>
    <w:rsid w:val="00A339B3"/>
    <w:rsid w:val="00A34024"/>
    <w:rsid w:val="00A34082"/>
    <w:rsid w:val="00A34466"/>
    <w:rsid w:val="00A346AA"/>
    <w:rsid w:val="00A346C4"/>
    <w:rsid w:val="00A3496D"/>
    <w:rsid w:val="00A34CC8"/>
    <w:rsid w:val="00A34F21"/>
    <w:rsid w:val="00A353EC"/>
    <w:rsid w:val="00A35550"/>
    <w:rsid w:val="00A355E7"/>
    <w:rsid w:val="00A35923"/>
    <w:rsid w:val="00A3592A"/>
    <w:rsid w:val="00A35C8C"/>
    <w:rsid w:val="00A35F41"/>
    <w:rsid w:val="00A36494"/>
    <w:rsid w:val="00A3686D"/>
    <w:rsid w:val="00A37354"/>
    <w:rsid w:val="00A3741E"/>
    <w:rsid w:val="00A37582"/>
    <w:rsid w:val="00A378A8"/>
    <w:rsid w:val="00A378DC"/>
    <w:rsid w:val="00A37981"/>
    <w:rsid w:val="00A37F85"/>
    <w:rsid w:val="00A410AE"/>
    <w:rsid w:val="00A4148D"/>
    <w:rsid w:val="00A41553"/>
    <w:rsid w:val="00A41CC1"/>
    <w:rsid w:val="00A41E80"/>
    <w:rsid w:val="00A42107"/>
    <w:rsid w:val="00A4236A"/>
    <w:rsid w:val="00A429D1"/>
    <w:rsid w:val="00A42C60"/>
    <w:rsid w:val="00A42EB0"/>
    <w:rsid w:val="00A43592"/>
    <w:rsid w:val="00A438D2"/>
    <w:rsid w:val="00A43C12"/>
    <w:rsid w:val="00A43D7E"/>
    <w:rsid w:val="00A4404D"/>
    <w:rsid w:val="00A442ED"/>
    <w:rsid w:val="00A44353"/>
    <w:rsid w:val="00A44840"/>
    <w:rsid w:val="00A44BA1"/>
    <w:rsid w:val="00A450E4"/>
    <w:rsid w:val="00A46325"/>
    <w:rsid w:val="00A46584"/>
    <w:rsid w:val="00A46A47"/>
    <w:rsid w:val="00A46CE9"/>
    <w:rsid w:val="00A47105"/>
    <w:rsid w:val="00A47288"/>
    <w:rsid w:val="00A47658"/>
    <w:rsid w:val="00A4765D"/>
    <w:rsid w:val="00A47895"/>
    <w:rsid w:val="00A47A76"/>
    <w:rsid w:val="00A47EAA"/>
    <w:rsid w:val="00A50183"/>
    <w:rsid w:val="00A51177"/>
    <w:rsid w:val="00A513A2"/>
    <w:rsid w:val="00A518EA"/>
    <w:rsid w:val="00A51ECE"/>
    <w:rsid w:val="00A52291"/>
    <w:rsid w:val="00A522D3"/>
    <w:rsid w:val="00A5232B"/>
    <w:rsid w:val="00A52374"/>
    <w:rsid w:val="00A52859"/>
    <w:rsid w:val="00A52B09"/>
    <w:rsid w:val="00A52B61"/>
    <w:rsid w:val="00A52EB0"/>
    <w:rsid w:val="00A52FA0"/>
    <w:rsid w:val="00A53061"/>
    <w:rsid w:val="00A53192"/>
    <w:rsid w:val="00A5329C"/>
    <w:rsid w:val="00A533CB"/>
    <w:rsid w:val="00A533CF"/>
    <w:rsid w:val="00A53A41"/>
    <w:rsid w:val="00A53CB8"/>
    <w:rsid w:val="00A53D8E"/>
    <w:rsid w:val="00A53DCE"/>
    <w:rsid w:val="00A53EF2"/>
    <w:rsid w:val="00A542F5"/>
    <w:rsid w:val="00A54ABB"/>
    <w:rsid w:val="00A54B7A"/>
    <w:rsid w:val="00A54DD7"/>
    <w:rsid w:val="00A550ED"/>
    <w:rsid w:val="00A551F7"/>
    <w:rsid w:val="00A55559"/>
    <w:rsid w:val="00A5581B"/>
    <w:rsid w:val="00A558F3"/>
    <w:rsid w:val="00A55E34"/>
    <w:rsid w:val="00A55F90"/>
    <w:rsid w:val="00A56022"/>
    <w:rsid w:val="00A57062"/>
    <w:rsid w:val="00A5736B"/>
    <w:rsid w:val="00A576DD"/>
    <w:rsid w:val="00A604DA"/>
    <w:rsid w:val="00A6075D"/>
    <w:rsid w:val="00A60A75"/>
    <w:rsid w:val="00A60E4D"/>
    <w:rsid w:val="00A616CA"/>
    <w:rsid w:val="00A6184D"/>
    <w:rsid w:val="00A61D2A"/>
    <w:rsid w:val="00A621CA"/>
    <w:rsid w:val="00A622E3"/>
    <w:rsid w:val="00A625C3"/>
    <w:rsid w:val="00A625F4"/>
    <w:rsid w:val="00A626FE"/>
    <w:rsid w:val="00A62826"/>
    <w:rsid w:val="00A62C09"/>
    <w:rsid w:val="00A62D2B"/>
    <w:rsid w:val="00A62FA7"/>
    <w:rsid w:val="00A63509"/>
    <w:rsid w:val="00A639CD"/>
    <w:rsid w:val="00A63F68"/>
    <w:rsid w:val="00A642AF"/>
    <w:rsid w:val="00A64536"/>
    <w:rsid w:val="00A645B4"/>
    <w:rsid w:val="00A6488F"/>
    <w:rsid w:val="00A64D17"/>
    <w:rsid w:val="00A65143"/>
    <w:rsid w:val="00A65267"/>
    <w:rsid w:val="00A65AEC"/>
    <w:rsid w:val="00A65F0F"/>
    <w:rsid w:val="00A66C73"/>
    <w:rsid w:val="00A66DA7"/>
    <w:rsid w:val="00A66E33"/>
    <w:rsid w:val="00A67189"/>
    <w:rsid w:val="00A673A6"/>
    <w:rsid w:val="00A67948"/>
    <w:rsid w:val="00A67F43"/>
    <w:rsid w:val="00A707D9"/>
    <w:rsid w:val="00A70C84"/>
    <w:rsid w:val="00A7100A"/>
    <w:rsid w:val="00A7124C"/>
    <w:rsid w:val="00A71C92"/>
    <w:rsid w:val="00A71EB6"/>
    <w:rsid w:val="00A720E7"/>
    <w:rsid w:val="00A72187"/>
    <w:rsid w:val="00A72271"/>
    <w:rsid w:val="00A7232B"/>
    <w:rsid w:val="00A72ACE"/>
    <w:rsid w:val="00A72B84"/>
    <w:rsid w:val="00A72E24"/>
    <w:rsid w:val="00A73049"/>
    <w:rsid w:val="00A734A5"/>
    <w:rsid w:val="00A73786"/>
    <w:rsid w:val="00A7378B"/>
    <w:rsid w:val="00A73EC7"/>
    <w:rsid w:val="00A73F87"/>
    <w:rsid w:val="00A742B8"/>
    <w:rsid w:val="00A744D0"/>
    <w:rsid w:val="00A7464D"/>
    <w:rsid w:val="00A748F2"/>
    <w:rsid w:val="00A74996"/>
    <w:rsid w:val="00A74BEA"/>
    <w:rsid w:val="00A75393"/>
    <w:rsid w:val="00A75E4D"/>
    <w:rsid w:val="00A75EB1"/>
    <w:rsid w:val="00A768E7"/>
    <w:rsid w:val="00A76ECB"/>
    <w:rsid w:val="00A77270"/>
    <w:rsid w:val="00A77645"/>
    <w:rsid w:val="00A777ED"/>
    <w:rsid w:val="00A778C3"/>
    <w:rsid w:val="00A77A75"/>
    <w:rsid w:val="00A800F7"/>
    <w:rsid w:val="00A807E5"/>
    <w:rsid w:val="00A80DDA"/>
    <w:rsid w:val="00A80ED1"/>
    <w:rsid w:val="00A80ED4"/>
    <w:rsid w:val="00A813F3"/>
    <w:rsid w:val="00A820A2"/>
    <w:rsid w:val="00A821C7"/>
    <w:rsid w:val="00A8294B"/>
    <w:rsid w:val="00A82A3F"/>
    <w:rsid w:val="00A83001"/>
    <w:rsid w:val="00A834F3"/>
    <w:rsid w:val="00A83866"/>
    <w:rsid w:val="00A83A3D"/>
    <w:rsid w:val="00A83FEF"/>
    <w:rsid w:val="00A8400E"/>
    <w:rsid w:val="00A84065"/>
    <w:rsid w:val="00A84127"/>
    <w:rsid w:val="00A8428B"/>
    <w:rsid w:val="00A8434B"/>
    <w:rsid w:val="00A84930"/>
    <w:rsid w:val="00A84C0E"/>
    <w:rsid w:val="00A84C1A"/>
    <w:rsid w:val="00A84EC6"/>
    <w:rsid w:val="00A84EFC"/>
    <w:rsid w:val="00A85276"/>
    <w:rsid w:val="00A8532F"/>
    <w:rsid w:val="00A85E46"/>
    <w:rsid w:val="00A86315"/>
    <w:rsid w:val="00A863A1"/>
    <w:rsid w:val="00A863E6"/>
    <w:rsid w:val="00A86560"/>
    <w:rsid w:val="00A86832"/>
    <w:rsid w:val="00A86C07"/>
    <w:rsid w:val="00A86DCB"/>
    <w:rsid w:val="00A87042"/>
    <w:rsid w:val="00A87077"/>
    <w:rsid w:val="00A870F6"/>
    <w:rsid w:val="00A87573"/>
    <w:rsid w:val="00A875DF"/>
    <w:rsid w:val="00A87C33"/>
    <w:rsid w:val="00A87F09"/>
    <w:rsid w:val="00A90074"/>
    <w:rsid w:val="00A902FA"/>
    <w:rsid w:val="00A90553"/>
    <w:rsid w:val="00A90AF3"/>
    <w:rsid w:val="00A90C43"/>
    <w:rsid w:val="00A9131E"/>
    <w:rsid w:val="00A91698"/>
    <w:rsid w:val="00A91E70"/>
    <w:rsid w:val="00A92C46"/>
    <w:rsid w:val="00A92D8A"/>
    <w:rsid w:val="00A92F47"/>
    <w:rsid w:val="00A9313C"/>
    <w:rsid w:val="00A93249"/>
    <w:rsid w:val="00A93498"/>
    <w:rsid w:val="00A937E6"/>
    <w:rsid w:val="00A93C7C"/>
    <w:rsid w:val="00A93D22"/>
    <w:rsid w:val="00A94298"/>
    <w:rsid w:val="00A94473"/>
    <w:rsid w:val="00A9462D"/>
    <w:rsid w:val="00A9486E"/>
    <w:rsid w:val="00A94AAB"/>
    <w:rsid w:val="00A94AFE"/>
    <w:rsid w:val="00A94C42"/>
    <w:rsid w:val="00A94FAE"/>
    <w:rsid w:val="00A9562D"/>
    <w:rsid w:val="00A956AC"/>
    <w:rsid w:val="00A9593E"/>
    <w:rsid w:val="00A95DAF"/>
    <w:rsid w:val="00A968EA"/>
    <w:rsid w:val="00A96C57"/>
    <w:rsid w:val="00A97086"/>
    <w:rsid w:val="00A97274"/>
    <w:rsid w:val="00A97412"/>
    <w:rsid w:val="00A97EE7"/>
    <w:rsid w:val="00AA085B"/>
    <w:rsid w:val="00AA08B3"/>
    <w:rsid w:val="00AA0B43"/>
    <w:rsid w:val="00AA12D7"/>
    <w:rsid w:val="00AA1BC6"/>
    <w:rsid w:val="00AA250A"/>
    <w:rsid w:val="00AA2AC6"/>
    <w:rsid w:val="00AA2C1F"/>
    <w:rsid w:val="00AA2EA7"/>
    <w:rsid w:val="00AA32F2"/>
    <w:rsid w:val="00AA391F"/>
    <w:rsid w:val="00AA3AC6"/>
    <w:rsid w:val="00AA3BC2"/>
    <w:rsid w:val="00AA4DD6"/>
    <w:rsid w:val="00AA562D"/>
    <w:rsid w:val="00AA5895"/>
    <w:rsid w:val="00AA5AB4"/>
    <w:rsid w:val="00AA5E01"/>
    <w:rsid w:val="00AA60DD"/>
    <w:rsid w:val="00AA6234"/>
    <w:rsid w:val="00AA6497"/>
    <w:rsid w:val="00AA64A0"/>
    <w:rsid w:val="00AA657F"/>
    <w:rsid w:val="00AA6733"/>
    <w:rsid w:val="00AA6B64"/>
    <w:rsid w:val="00AB051A"/>
    <w:rsid w:val="00AB0650"/>
    <w:rsid w:val="00AB078D"/>
    <w:rsid w:val="00AB079B"/>
    <w:rsid w:val="00AB11C7"/>
    <w:rsid w:val="00AB1283"/>
    <w:rsid w:val="00AB1495"/>
    <w:rsid w:val="00AB1C51"/>
    <w:rsid w:val="00AB1D65"/>
    <w:rsid w:val="00AB1E55"/>
    <w:rsid w:val="00AB22A1"/>
    <w:rsid w:val="00AB2358"/>
    <w:rsid w:val="00AB23EA"/>
    <w:rsid w:val="00AB2684"/>
    <w:rsid w:val="00AB2A9D"/>
    <w:rsid w:val="00AB2D35"/>
    <w:rsid w:val="00AB329E"/>
    <w:rsid w:val="00AB33FC"/>
    <w:rsid w:val="00AB3444"/>
    <w:rsid w:val="00AB35EC"/>
    <w:rsid w:val="00AB3758"/>
    <w:rsid w:val="00AB3D94"/>
    <w:rsid w:val="00AB40C5"/>
    <w:rsid w:val="00AB4102"/>
    <w:rsid w:val="00AB43BB"/>
    <w:rsid w:val="00AB44CF"/>
    <w:rsid w:val="00AB4A4E"/>
    <w:rsid w:val="00AB4BAE"/>
    <w:rsid w:val="00AB4E53"/>
    <w:rsid w:val="00AB5730"/>
    <w:rsid w:val="00AB5981"/>
    <w:rsid w:val="00AB5CED"/>
    <w:rsid w:val="00AB61B6"/>
    <w:rsid w:val="00AB683E"/>
    <w:rsid w:val="00AB6AAB"/>
    <w:rsid w:val="00AB6D8B"/>
    <w:rsid w:val="00AB7515"/>
    <w:rsid w:val="00AB7750"/>
    <w:rsid w:val="00AB775B"/>
    <w:rsid w:val="00AB77B8"/>
    <w:rsid w:val="00AB7CE5"/>
    <w:rsid w:val="00AC0805"/>
    <w:rsid w:val="00AC088B"/>
    <w:rsid w:val="00AC0B48"/>
    <w:rsid w:val="00AC1194"/>
    <w:rsid w:val="00AC182A"/>
    <w:rsid w:val="00AC19F6"/>
    <w:rsid w:val="00AC1E18"/>
    <w:rsid w:val="00AC29DC"/>
    <w:rsid w:val="00AC2C6F"/>
    <w:rsid w:val="00AC3813"/>
    <w:rsid w:val="00AC3B0A"/>
    <w:rsid w:val="00AC464F"/>
    <w:rsid w:val="00AC4931"/>
    <w:rsid w:val="00AC4D2F"/>
    <w:rsid w:val="00AC5102"/>
    <w:rsid w:val="00AC5207"/>
    <w:rsid w:val="00AC56BF"/>
    <w:rsid w:val="00AC586C"/>
    <w:rsid w:val="00AC5C3F"/>
    <w:rsid w:val="00AC61CA"/>
    <w:rsid w:val="00AC6685"/>
    <w:rsid w:val="00AC7039"/>
    <w:rsid w:val="00AC7320"/>
    <w:rsid w:val="00AC7323"/>
    <w:rsid w:val="00AC7449"/>
    <w:rsid w:val="00AC7824"/>
    <w:rsid w:val="00AC7959"/>
    <w:rsid w:val="00AC7BEF"/>
    <w:rsid w:val="00AD0077"/>
    <w:rsid w:val="00AD0678"/>
    <w:rsid w:val="00AD0865"/>
    <w:rsid w:val="00AD08AB"/>
    <w:rsid w:val="00AD0919"/>
    <w:rsid w:val="00AD14D2"/>
    <w:rsid w:val="00AD156B"/>
    <w:rsid w:val="00AD16B4"/>
    <w:rsid w:val="00AD172A"/>
    <w:rsid w:val="00AD184F"/>
    <w:rsid w:val="00AD18DB"/>
    <w:rsid w:val="00AD27D2"/>
    <w:rsid w:val="00AD2C38"/>
    <w:rsid w:val="00AD320A"/>
    <w:rsid w:val="00AD3740"/>
    <w:rsid w:val="00AD3955"/>
    <w:rsid w:val="00AD3C76"/>
    <w:rsid w:val="00AD3CF9"/>
    <w:rsid w:val="00AD3E9E"/>
    <w:rsid w:val="00AD4521"/>
    <w:rsid w:val="00AD4906"/>
    <w:rsid w:val="00AD4C36"/>
    <w:rsid w:val="00AD4D88"/>
    <w:rsid w:val="00AD4DC9"/>
    <w:rsid w:val="00AD4EC1"/>
    <w:rsid w:val="00AD4EDD"/>
    <w:rsid w:val="00AD4F20"/>
    <w:rsid w:val="00AD4FCB"/>
    <w:rsid w:val="00AD51F1"/>
    <w:rsid w:val="00AD58B0"/>
    <w:rsid w:val="00AD5E8F"/>
    <w:rsid w:val="00AD6459"/>
    <w:rsid w:val="00AD66B0"/>
    <w:rsid w:val="00AD6832"/>
    <w:rsid w:val="00AD6BA1"/>
    <w:rsid w:val="00AD6F6D"/>
    <w:rsid w:val="00AD7001"/>
    <w:rsid w:val="00AD73E4"/>
    <w:rsid w:val="00AD7573"/>
    <w:rsid w:val="00AD7C54"/>
    <w:rsid w:val="00AD7CF1"/>
    <w:rsid w:val="00AE0300"/>
    <w:rsid w:val="00AE0A46"/>
    <w:rsid w:val="00AE0F34"/>
    <w:rsid w:val="00AE104E"/>
    <w:rsid w:val="00AE19B0"/>
    <w:rsid w:val="00AE1F5B"/>
    <w:rsid w:val="00AE218F"/>
    <w:rsid w:val="00AE25CE"/>
    <w:rsid w:val="00AE2750"/>
    <w:rsid w:val="00AE2783"/>
    <w:rsid w:val="00AE2B39"/>
    <w:rsid w:val="00AE2CF9"/>
    <w:rsid w:val="00AE2D91"/>
    <w:rsid w:val="00AE2F7E"/>
    <w:rsid w:val="00AE2FD4"/>
    <w:rsid w:val="00AE36A6"/>
    <w:rsid w:val="00AE3826"/>
    <w:rsid w:val="00AE3ACD"/>
    <w:rsid w:val="00AE4463"/>
    <w:rsid w:val="00AE4653"/>
    <w:rsid w:val="00AE4E98"/>
    <w:rsid w:val="00AE4F4B"/>
    <w:rsid w:val="00AE5785"/>
    <w:rsid w:val="00AE5F43"/>
    <w:rsid w:val="00AE5F53"/>
    <w:rsid w:val="00AE6564"/>
    <w:rsid w:val="00AE682A"/>
    <w:rsid w:val="00AE760D"/>
    <w:rsid w:val="00AE784F"/>
    <w:rsid w:val="00AE7875"/>
    <w:rsid w:val="00AE7A03"/>
    <w:rsid w:val="00AE7A6A"/>
    <w:rsid w:val="00AF00E5"/>
    <w:rsid w:val="00AF0428"/>
    <w:rsid w:val="00AF0474"/>
    <w:rsid w:val="00AF05AA"/>
    <w:rsid w:val="00AF0CFC"/>
    <w:rsid w:val="00AF12BB"/>
    <w:rsid w:val="00AF1EDC"/>
    <w:rsid w:val="00AF2950"/>
    <w:rsid w:val="00AF2B55"/>
    <w:rsid w:val="00AF2DE4"/>
    <w:rsid w:val="00AF3571"/>
    <w:rsid w:val="00AF36D8"/>
    <w:rsid w:val="00AF399F"/>
    <w:rsid w:val="00AF39E3"/>
    <w:rsid w:val="00AF3A1C"/>
    <w:rsid w:val="00AF3E26"/>
    <w:rsid w:val="00AF3F52"/>
    <w:rsid w:val="00AF4154"/>
    <w:rsid w:val="00AF4432"/>
    <w:rsid w:val="00AF4C55"/>
    <w:rsid w:val="00AF4DC7"/>
    <w:rsid w:val="00AF4DCB"/>
    <w:rsid w:val="00AF4EEC"/>
    <w:rsid w:val="00AF4F21"/>
    <w:rsid w:val="00AF4F44"/>
    <w:rsid w:val="00AF53B0"/>
    <w:rsid w:val="00AF59FB"/>
    <w:rsid w:val="00AF5A83"/>
    <w:rsid w:val="00AF5E42"/>
    <w:rsid w:val="00AF64D3"/>
    <w:rsid w:val="00AF66BB"/>
    <w:rsid w:val="00AF6737"/>
    <w:rsid w:val="00AF6AE5"/>
    <w:rsid w:val="00AF6B0A"/>
    <w:rsid w:val="00AF6B0F"/>
    <w:rsid w:val="00AF6DF5"/>
    <w:rsid w:val="00AF6EE1"/>
    <w:rsid w:val="00AF7353"/>
    <w:rsid w:val="00AF771C"/>
    <w:rsid w:val="00AF7CF9"/>
    <w:rsid w:val="00AF7FB0"/>
    <w:rsid w:val="00B003A2"/>
    <w:rsid w:val="00B007A6"/>
    <w:rsid w:val="00B00DD1"/>
    <w:rsid w:val="00B013A6"/>
    <w:rsid w:val="00B01471"/>
    <w:rsid w:val="00B018AA"/>
    <w:rsid w:val="00B01AF9"/>
    <w:rsid w:val="00B01C4B"/>
    <w:rsid w:val="00B01F2B"/>
    <w:rsid w:val="00B021FA"/>
    <w:rsid w:val="00B0235D"/>
    <w:rsid w:val="00B028E4"/>
    <w:rsid w:val="00B02ABB"/>
    <w:rsid w:val="00B02C4A"/>
    <w:rsid w:val="00B02D17"/>
    <w:rsid w:val="00B0387D"/>
    <w:rsid w:val="00B03EC6"/>
    <w:rsid w:val="00B03FAB"/>
    <w:rsid w:val="00B04213"/>
    <w:rsid w:val="00B04561"/>
    <w:rsid w:val="00B054A6"/>
    <w:rsid w:val="00B0578F"/>
    <w:rsid w:val="00B05D04"/>
    <w:rsid w:val="00B05EBE"/>
    <w:rsid w:val="00B061BA"/>
    <w:rsid w:val="00B0627F"/>
    <w:rsid w:val="00B064C8"/>
    <w:rsid w:val="00B0650A"/>
    <w:rsid w:val="00B065BC"/>
    <w:rsid w:val="00B06E52"/>
    <w:rsid w:val="00B0703F"/>
    <w:rsid w:val="00B071E9"/>
    <w:rsid w:val="00B079DF"/>
    <w:rsid w:val="00B07AB9"/>
    <w:rsid w:val="00B10379"/>
    <w:rsid w:val="00B108E1"/>
    <w:rsid w:val="00B10A4D"/>
    <w:rsid w:val="00B10DD6"/>
    <w:rsid w:val="00B10E77"/>
    <w:rsid w:val="00B11070"/>
    <w:rsid w:val="00B1114E"/>
    <w:rsid w:val="00B111F4"/>
    <w:rsid w:val="00B113FC"/>
    <w:rsid w:val="00B11B0D"/>
    <w:rsid w:val="00B11DDB"/>
    <w:rsid w:val="00B11FED"/>
    <w:rsid w:val="00B121CD"/>
    <w:rsid w:val="00B1258C"/>
    <w:rsid w:val="00B12B29"/>
    <w:rsid w:val="00B12F6B"/>
    <w:rsid w:val="00B13DD6"/>
    <w:rsid w:val="00B13EA8"/>
    <w:rsid w:val="00B140BE"/>
    <w:rsid w:val="00B145CF"/>
    <w:rsid w:val="00B1470A"/>
    <w:rsid w:val="00B14B84"/>
    <w:rsid w:val="00B14D83"/>
    <w:rsid w:val="00B14DDE"/>
    <w:rsid w:val="00B1500F"/>
    <w:rsid w:val="00B1512C"/>
    <w:rsid w:val="00B152ED"/>
    <w:rsid w:val="00B154FD"/>
    <w:rsid w:val="00B15A98"/>
    <w:rsid w:val="00B15B16"/>
    <w:rsid w:val="00B165EA"/>
    <w:rsid w:val="00B16D22"/>
    <w:rsid w:val="00B16D5F"/>
    <w:rsid w:val="00B16F25"/>
    <w:rsid w:val="00B17171"/>
    <w:rsid w:val="00B176D7"/>
    <w:rsid w:val="00B176DC"/>
    <w:rsid w:val="00B177CF"/>
    <w:rsid w:val="00B17BCB"/>
    <w:rsid w:val="00B17FF5"/>
    <w:rsid w:val="00B20144"/>
    <w:rsid w:val="00B203C7"/>
    <w:rsid w:val="00B20B49"/>
    <w:rsid w:val="00B20EA8"/>
    <w:rsid w:val="00B2101D"/>
    <w:rsid w:val="00B210DB"/>
    <w:rsid w:val="00B21F0D"/>
    <w:rsid w:val="00B21FAE"/>
    <w:rsid w:val="00B22150"/>
    <w:rsid w:val="00B221AC"/>
    <w:rsid w:val="00B2233A"/>
    <w:rsid w:val="00B223BC"/>
    <w:rsid w:val="00B226D0"/>
    <w:rsid w:val="00B22B0F"/>
    <w:rsid w:val="00B22B45"/>
    <w:rsid w:val="00B22C02"/>
    <w:rsid w:val="00B23293"/>
    <w:rsid w:val="00B24230"/>
    <w:rsid w:val="00B2463C"/>
    <w:rsid w:val="00B249C8"/>
    <w:rsid w:val="00B249F6"/>
    <w:rsid w:val="00B256A7"/>
    <w:rsid w:val="00B26002"/>
    <w:rsid w:val="00B2603F"/>
    <w:rsid w:val="00B2611C"/>
    <w:rsid w:val="00B2623E"/>
    <w:rsid w:val="00B2631F"/>
    <w:rsid w:val="00B2699E"/>
    <w:rsid w:val="00B26D86"/>
    <w:rsid w:val="00B26FE0"/>
    <w:rsid w:val="00B30394"/>
    <w:rsid w:val="00B306FE"/>
    <w:rsid w:val="00B30A29"/>
    <w:rsid w:val="00B30AF9"/>
    <w:rsid w:val="00B30B12"/>
    <w:rsid w:val="00B30BDA"/>
    <w:rsid w:val="00B30E39"/>
    <w:rsid w:val="00B30FCD"/>
    <w:rsid w:val="00B3136A"/>
    <w:rsid w:val="00B318FF"/>
    <w:rsid w:val="00B31A26"/>
    <w:rsid w:val="00B31AFC"/>
    <w:rsid w:val="00B31B8F"/>
    <w:rsid w:val="00B32608"/>
    <w:rsid w:val="00B32664"/>
    <w:rsid w:val="00B328D1"/>
    <w:rsid w:val="00B32A46"/>
    <w:rsid w:val="00B32DDF"/>
    <w:rsid w:val="00B32FF4"/>
    <w:rsid w:val="00B33185"/>
    <w:rsid w:val="00B33AFD"/>
    <w:rsid w:val="00B342EA"/>
    <w:rsid w:val="00B34484"/>
    <w:rsid w:val="00B34489"/>
    <w:rsid w:val="00B344C9"/>
    <w:rsid w:val="00B345AB"/>
    <w:rsid w:val="00B34993"/>
    <w:rsid w:val="00B34CC4"/>
    <w:rsid w:val="00B34D0A"/>
    <w:rsid w:val="00B34D7F"/>
    <w:rsid w:val="00B34E73"/>
    <w:rsid w:val="00B34F6F"/>
    <w:rsid w:val="00B354A2"/>
    <w:rsid w:val="00B356B5"/>
    <w:rsid w:val="00B35BB4"/>
    <w:rsid w:val="00B35DB2"/>
    <w:rsid w:val="00B35F67"/>
    <w:rsid w:val="00B3650F"/>
    <w:rsid w:val="00B365A7"/>
    <w:rsid w:val="00B3664D"/>
    <w:rsid w:val="00B370BA"/>
    <w:rsid w:val="00B37432"/>
    <w:rsid w:val="00B37445"/>
    <w:rsid w:val="00B374F3"/>
    <w:rsid w:val="00B37CA3"/>
    <w:rsid w:val="00B37EEE"/>
    <w:rsid w:val="00B40E20"/>
    <w:rsid w:val="00B40E42"/>
    <w:rsid w:val="00B4121C"/>
    <w:rsid w:val="00B41BB9"/>
    <w:rsid w:val="00B41DD0"/>
    <w:rsid w:val="00B41ECB"/>
    <w:rsid w:val="00B420F9"/>
    <w:rsid w:val="00B422C2"/>
    <w:rsid w:val="00B427F0"/>
    <w:rsid w:val="00B43A58"/>
    <w:rsid w:val="00B43AA5"/>
    <w:rsid w:val="00B43E73"/>
    <w:rsid w:val="00B44022"/>
    <w:rsid w:val="00B44044"/>
    <w:rsid w:val="00B44199"/>
    <w:rsid w:val="00B4449E"/>
    <w:rsid w:val="00B449E9"/>
    <w:rsid w:val="00B44AB9"/>
    <w:rsid w:val="00B44B46"/>
    <w:rsid w:val="00B44D06"/>
    <w:rsid w:val="00B44DA1"/>
    <w:rsid w:val="00B44F16"/>
    <w:rsid w:val="00B44FF8"/>
    <w:rsid w:val="00B45095"/>
    <w:rsid w:val="00B450D0"/>
    <w:rsid w:val="00B451C3"/>
    <w:rsid w:val="00B456BF"/>
    <w:rsid w:val="00B45D2A"/>
    <w:rsid w:val="00B45DF9"/>
    <w:rsid w:val="00B4646E"/>
    <w:rsid w:val="00B468F2"/>
    <w:rsid w:val="00B46BAB"/>
    <w:rsid w:val="00B46BC6"/>
    <w:rsid w:val="00B47077"/>
    <w:rsid w:val="00B470BF"/>
    <w:rsid w:val="00B471F4"/>
    <w:rsid w:val="00B472C4"/>
    <w:rsid w:val="00B478D8"/>
    <w:rsid w:val="00B47B59"/>
    <w:rsid w:val="00B47DC5"/>
    <w:rsid w:val="00B47F3E"/>
    <w:rsid w:val="00B501B5"/>
    <w:rsid w:val="00B50268"/>
    <w:rsid w:val="00B5029E"/>
    <w:rsid w:val="00B50300"/>
    <w:rsid w:val="00B50600"/>
    <w:rsid w:val="00B5091E"/>
    <w:rsid w:val="00B5108D"/>
    <w:rsid w:val="00B5116C"/>
    <w:rsid w:val="00B51431"/>
    <w:rsid w:val="00B51783"/>
    <w:rsid w:val="00B51848"/>
    <w:rsid w:val="00B51A6B"/>
    <w:rsid w:val="00B51F51"/>
    <w:rsid w:val="00B521BE"/>
    <w:rsid w:val="00B527F0"/>
    <w:rsid w:val="00B52A21"/>
    <w:rsid w:val="00B52AF9"/>
    <w:rsid w:val="00B53174"/>
    <w:rsid w:val="00B5352C"/>
    <w:rsid w:val="00B5353D"/>
    <w:rsid w:val="00B53687"/>
    <w:rsid w:val="00B537DC"/>
    <w:rsid w:val="00B5383C"/>
    <w:rsid w:val="00B53A61"/>
    <w:rsid w:val="00B53BB1"/>
    <w:rsid w:val="00B55084"/>
    <w:rsid w:val="00B55453"/>
    <w:rsid w:val="00B554AB"/>
    <w:rsid w:val="00B5595E"/>
    <w:rsid w:val="00B55B6C"/>
    <w:rsid w:val="00B55B9F"/>
    <w:rsid w:val="00B55E65"/>
    <w:rsid w:val="00B568C8"/>
    <w:rsid w:val="00B56C44"/>
    <w:rsid w:val="00B56DCF"/>
    <w:rsid w:val="00B570BF"/>
    <w:rsid w:val="00B57718"/>
    <w:rsid w:val="00B5789B"/>
    <w:rsid w:val="00B602F4"/>
    <w:rsid w:val="00B6032F"/>
    <w:rsid w:val="00B60528"/>
    <w:rsid w:val="00B608EF"/>
    <w:rsid w:val="00B60AA7"/>
    <w:rsid w:val="00B60B01"/>
    <w:rsid w:val="00B611DD"/>
    <w:rsid w:val="00B6149B"/>
    <w:rsid w:val="00B6159C"/>
    <w:rsid w:val="00B615A0"/>
    <w:rsid w:val="00B615E4"/>
    <w:rsid w:val="00B61D2F"/>
    <w:rsid w:val="00B621DC"/>
    <w:rsid w:val="00B6220E"/>
    <w:rsid w:val="00B62310"/>
    <w:rsid w:val="00B62507"/>
    <w:rsid w:val="00B6254A"/>
    <w:rsid w:val="00B629BE"/>
    <w:rsid w:val="00B62B60"/>
    <w:rsid w:val="00B62F9B"/>
    <w:rsid w:val="00B63808"/>
    <w:rsid w:val="00B639A1"/>
    <w:rsid w:val="00B63AC6"/>
    <w:rsid w:val="00B644EF"/>
    <w:rsid w:val="00B644F3"/>
    <w:rsid w:val="00B64A29"/>
    <w:rsid w:val="00B64C76"/>
    <w:rsid w:val="00B64EEB"/>
    <w:rsid w:val="00B64FC0"/>
    <w:rsid w:val="00B65075"/>
    <w:rsid w:val="00B652E9"/>
    <w:rsid w:val="00B6533C"/>
    <w:rsid w:val="00B6586D"/>
    <w:rsid w:val="00B66094"/>
    <w:rsid w:val="00B66324"/>
    <w:rsid w:val="00B6641D"/>
    <w:rsid w:val="00B66633"/>
    <w:rsid w:val="00B666DA"/>
    <w:rsid w:val="00B671B6"/>
    <w:rsid w:val="00B67626"/>
    <w:rsid w:val="00B67821"/>
    <w:rsid w:val="00B67B08"/>
    <w:rsid w:val="00B67B49"/>
    <w:rsid w:val="00B67CF4"/>
    <w:rsid w:val="00B7040B"/>
    <w:rsid w:val="00B706AC"/>
    <w:rsid w:val="00B70FB5"/>
    <w:rsid w:val="00B7206A"/>
    <w:rsid w:val="00B72179"/>
    <w:rsid w:val="00B72616"/>
    <w:rsid w:val="00B73229"/>
    <w:rsid w:val="00B732F1"/>
    <w:rsid w:val="00B7346A"/>
    <w:rsid w:val="00B7364A"/>
    <w:rsid w:val="00B737FB"/>
    <w:rsid w:val="00B73923"/>
    <w:rsid w:val="00B73D70"/>
    <w:rsid w:val="00B73EAF"/>
    <w:rsid w:val="00B740C3"/>
    <w:rsid w:val="00B741CD"/>
    <w:rsid w:val="00B74499"/>
    <w:rsid w:val="00B74EE7"/>
    <w:rsid w:val="00B74F8F"/>
    <w:rsid w:val="00B75208"/>
    <w:rsid w:val="00B75450"/>
    <w:rsid w:val="00B75532"/>
    <w:rsid w:val="00B75668"/>
    <w:rsid w:val="00B75DAD"/>
    <w:rsid w:val="00B75EAC"/>
    <w:rsid w:val="00B761FA"/>
    <w:rsid w:val="00B76AE5"/>
    <w:rsid w:val="00B76D72"/>
    <w:rsid w:val="00B76E84"/>
    <w:rsid w:val="00B77615"/>
    <w:rsid w:val="00B7779F"/>
    <w:rsid w:val="00B77A03"/>
    <w:rsid w:val="00B77A9F"/>
    <w:rsid w:val="00B77DBE"/>
    <w:rsid w:val="00B8041D"/>
    <w:rsid w:val="00B80571"/>
    <w:rsid w:val="00B80575"/>
    <w:rsid w:val="00B806EE"/>
    <w:rsid w:val="00B808F2"/>
    <w:rsid w:val="00B80A85"/>
    <w:rsid w:val="00B80BAC"/>
    <w:rsid w:val="00B80C96"/>
    <w:rsid w:val="00B8120D"/>
    <w:rsid w:val="00B81B10"/>
    <w:rsid w:val="00B81B21"/>
    <w:rsid w:val="00B81EE6"/>
    <w:rsid w:val="00B8273C"/>
    <w:rsid w:val="00B82891"/>
    <w:rsid w:val="00B828BF"/>
    <w:rsid w:val="00B82997"/>
    <w:rsid w:val="00B82A9C"/>
    <w:rsid w:val="00B82D9B"/>
    <w:rsid w:val="00B83185"/>
    <w:rsid w:val="00B834DA"/>
    <w:rsid w:val="00B835C3"/>
    <w:rsid w:val="00B83F48"/>
    <w:rsid w:val="00B841CA"/>
    <w:rsid w:val="00B84AE2"/>
    <w:rsid w:val="00B858D1"/>
    <w:rsid w:val="00B85A55"/>
    <w:rsid w:val="00B85C78"/>
    <w:rsid w:val="00B85D3B"/>
    <w:rsid w:val="00B85D84"/>
    <w:rsid w:val="00B85DC8"/>
    <w:rsid w:val="00B85E36"/>
    <w:rsid w:val="00B865B3"/>
    <w:rsid w:val="00B868F5"/>
    <w:rsid w:val="00B86AFC"/>
    <w:rsid w:val="00B86BAE"/>
    <w:rsid w:val="00B870B8"/>
    <w:rsid w:val="00B8729E"/>
    <w:rsid w:val="00B87C7D"/>
    <w:rsid w:val="00B87CA9"/>
    <w:rsid w:val="00B9116A"/>
    <w:rsid w:val="00B911F3"/>
    <w:rsid w:val="00B9165C"/>
    <w:rsid w:val="00B9179A"/>
    <w:rsid w:val="00B917D1"/>
    <w:rsid w:val="00B91A1D"/>
    <w:rsid w:val="00B9215D"/>
    <w:rsid w:val="00B9227C"/>
    <w:rsid w:val="00B92407"/>
    <w:rsid w:val="00B927E1"/>
    <w:rsid w:val="00B92D96"/>
    <w:rsid w:val="00B92EAA"/>
    <w:rsid w:val="00B93193"/>
    <w:rsid w:val="00B9335B"/>
    <w:rsid w:val="00B93420"/>
    <w:rsid w:val="00B93674"/>
    <w:rsid w:val="00B936B7"/>
    <w:rsid w:val="00B93A16"/>
    <w:rsid w:val="00B93B6B"/>
    <w:rsid w:val="00B93C29"/>
    <w:rsid w:val="00B93ECE"/>
    <w:rsid w:val="00B950B9"/>
    <w:rsid w:val="00B955C4"/>
    <w:rsid w:val="00B9596E"/>
    <w:rsid w:val="00B95BC0"/>
    <w:rsid w:val="00B95C04"/>
    <w:rsid w:val="00B966A4"/>
    <w:rsid w:val="00B96949"/>
    <w:rsid w:val="00B96BA3"/>
    <w:rsid w:val="00B96DEF"/>
    <w:rsid w:val="00B96E8E"/>
    <w:rsid w:val="00B977A0"/>
    <w:rsid w:val="00B977BF"/>
    <w:rsid w:val="00B9782A"/>
    <w:rsid w:val="00B97AE0"/>
    <w:rsid w:val="00B97BA3"/>
    <w:rsid w:val="00B97C31"/>
    <w:rsid w:val="00B97DD4"/>
    <w:rsid w:val="00BA05B2"/>
    <w:rsid w:val="00BA07F1"/>
    <w:rsid w:val="00BA0E92"/>
    <w:rsid w:val="00BA0FEF"/>
    <w:rsid w:val="00BA1EDF"/>
    <w:rsid w:val="00BA2692"/>
    <w:rsid w:val="00BA2812"/>
    <w:rsid w:val="00BA2D72"/>
    <w:rsid w:val="00BA36ED"/>
    <w:rsid w:val="00BA3815"/>
    <w:rsid w:val="00BA38EA"/>
    <w:rsid w:val="00BA390F"/>
    <w:rsid w:val="00BA3E3E"/>
    <w:rsid w:val="00BA3F0B"/>
    <w:rsid w:val="00BA40D6"/>
    <w:rsid w:val="00BA41AF"/>
    <w:rsid w:val="00BA4207"/>
    <w:rsid w:val="00BA498F"/>
    <w:rsid w:val="00BA4DBE"/>
    <w:rsid w:val="00BA4F33"/>
    <w:rsid w:val="00BA4F74"/>
    <w:rsid w:val="00BA5866"/>
    <w:rsid w:val="00BA5C76"/>
    <w:rsid w:val="00BA5DF6"/>
    <w:rsid w:val="00BA6591"/>
    <w:rsid w:val="00BA68AC"/>
    <w:rsid w:val="00BA7237"/>
    <w:rsid w:val="00BA7EFA"/>
    <w:rsid w:val="00BB0186"/>
    <w:rsid w:val="00BB0208"/>
    <w:rsid w:val="00BB0363"/>
    <w:rsid w:val="00BB0D79"/>
    <w:rsid w:val="00BB1362"/>
    <w:rsid w:val="00BB13BA"/>
    <w:rsid w:val="00BB1C64"/>
    <w:rsid w:val="00BB24E8"/>
    <w:rsid w:val="00BB257B"/>
    <w:rsid w:val="00BB2A80"/>
    <w:rsid w:val="00BB2BDB"/>
    <w:rsid w:val="00BB2CAF"/>
    <w:rsid w:val="00BB2DB2"/>
    <w:rsid w:val="00BB2E63"/>
    <w:rsid w:val="00BB2EF3"/>
    <w:rsid w:val="00BB35D2"/>
    <w:rsid w:val="00BB3EA4"/>
    <w:rsid w:val="00BB4287"/>
    <w:rsid w:val="00BB4633"/>
    <w:rsid w:val="00BB49EA"/>
    <w:rsid w:val="00BB4A94"/>
    <w:rsid w:val="00BB4B27"/>
    <w:rsid w:val="00BB4F90"/>
    <w:rsid w:val="00BB5413"/>
    <w:rsid w:val="00BB55DE"/>
    <w:rsid w:val="00BB5740"/>
    <w:rsid w:val="00BB607D"/>
    <w:rsid w:val="00BB6264"/>
    <w:rsid w:val="00BB6654"/>
    <w:rsid w:val="00BB6893"/>
    <w:rsid w:val="00BB6D1F"/>
    <w:rsid w:val="00BB6E06"/>
    <w:rsid w:val="00BB70CE"/>
    <w:rsid w:val="00BB7215"/>
    <w:rsid w:val="00BB73B5"/>
    <w:rsid w:val="00BB7C8D"/>
    <w:rsid w:val="00BB7CD3"/>
    <w:rsid w:val="00BC04BD"/>
    <w:rsid w:val="00BC062C"/>
    <w:rsid w:val="00BC0D38"/>
    <w:rsid w:val="00BC0DF7"/>
    <w:rsid w:val="00BC1385"/>
    <w:rsid w:val="00BC1450"/>
    <w:rsid w:val="00BC1662"/>
    <w:rsid w:val="00BC1EA2"/>
    <w:rsid w:val="00BC1FEC"/>
    <w:rsid w:val="00BC2197"/>
    <w:rsid w:val="00BC2312"/>
    <w:rsid w:val="00BC301A"/>
    <w:rsid w:val="00BC3768"/>
    <w:rsid w:val="00BC49BF"/>
    <w:rsid w:val="00BC4DCF"/>
    <w:rsid w:val="00BC548D"/>
    <w:rsid w:val="00BC5C0D"/>
    <w:rsid w:val="00BC5C8E"/>
    <w:rsid w:val="00BC5CC1"/>
    <w:rsid w:val="00BC5F52"/>
    <w:rsid w:val="00BC6018"/>
    <w:rsid w:val="00BC6078"/>
    <w:rsid w:val="00BC6122"/>
    <w:rsid w:val="00BC6884"/>
    <w:rsid w:val="00BC6C56"/>
    <w:rsid w:val="00BC6DAC"/>
    <w:rsid w:val="00BC6ED4"/>
    <w:rsid w:val="00BC6FDA"/>
    <w:rsid w:val="00BC75B1"/>
    <w:rsid w:val="00BC7AF7"/>
    <w:rsid w:val="00BD00E1"/>
    <w:rsid w:val="00BD0258"/>
    <w:rsid w:val="00BD07A9"/>
    <w:rsid w:val="00BD08A9"/>
    <w:rsid w:val="00BD0AD0"/>
    <w:rsid w:val="00BD124E"/>
    <w:rsid w:val="00BD1339"/>
    <w:rsid w:val="00BD1493"/>
    <w:rsid w:val="00BD1759"/>
    <w:rsid w:val="00BD2109"/>
    <w:rsid w:val="00BD24E1"/>
    <w:rsid w:val="00BD2C5C"/>
    <w:rsid w:val="00BD2F24"/>
    <w:rsid w:val="00BD31C5"/>
    <w:rsid w:val="00BD37EF"/>
    <w:rsid w:val="00BD3909"/>
    <w:rsid w:val="00BD39CD"/>
    <w:rsid w:val="00BD3AC2"/>
    <w:rsid w:val="00BD3C24"/>
    <w:rsid w:val="00BD3EB5"/>
    <w:rsid w:val="00BD3EC9"/>
    <w:rsid w:val="00BD473D"/>
    <w:rsid w:val="00BD485D"/>
    <w:rsid w:val="00BD4B88"/>
    <w:rsid w:val="00BD4EC9"/>
    <w:rsid w:val="00BD57AB"/>
    <w:rsid w:val="00BD5E3F"/>
    <w:rsid w:val="00BD5F49"/>
    <w:rsid w:val="00BD663E"/>
    <w:rsid w:val="00BD6B80"/>
    <w:rsid w:val="00BD7038"/>
    <w:rsid w:val="00BD750F"/>
    <w:rsid w:val="00BD7C9D"/>
    <w:rsid w:val="00BD7EA6"/>
    <w:rsid w:val="00BE036C"/>
    <w:rsid w:val="00BE04F1"/>
    <w:rsid w:val="00BE070B"/>
    <w:rsid w:val="00BE1140"/>
    <w:rsid w:val="00BE11B4"/>
    <w:rsid w:val="00BE1355"/>
    <w:rsid w:val="00BE16EA"/>
    <w:rsid w:val="00BE1ABE"/>
    <w:rsid w:val="00BE1C3F"/>
    <w:rsid w:val="00BE1F76"/>
    <w:rsid w:val="00BE1F83"/>
    <w:rsid w:val="00BE1F98"/>
    <w:rsid w:val="00BE21FB"/>
    <w:rsid w:val="00BE2383"/>
    <w:rsid w:val="00BE24CD"/>
    <w:rsid w:val="00BE26AD"/>
    <w:rsid w:val="00BE2868"/>
    <w:rsid w:val="00BE2B71"/>
    <w:rsid w:val="00BE2C44"/>
    <w:rsid w:val="00BE2F26"/>
    <w:rsid w:val="00BE322D"/>
    <w:rsid w:val="00BE3787"/>
    <w:rsid w:val="00BE37C1"/>
    <w:rsid w:val="00BE39B3"/>
    <w:rsid w:val="00BE428C"/>
    <w:rsid w:val="00BE451B"/>
    <w:rsid w:val="00BE4709"/>
    <w:rsid w:val="00BE5514"/>
    <w:rsid w:val="00BE56D4"/>
    <w:rsid w:val="00BE57E8"/>
    <w:rsid w:val="00BE5A3F"/>
    <w:rsid w:val="00BE5BD8"/>
    <w:rsid w:val="00BE5F89"/>
    <w:rsid w:val="00BE6BB0"/>
    <w:rsid w:val="00BE6C98"/>
    <w:rsid w:val="00BE7118"/>
    <w:rsid w:val="00BE71BD"/>
    <w:rsid w:val="00BE71F0"/>
    <w:rsid w:val="00BE72A8"/>
    <w:rsid w:val="00BE750E"/>
    <w:rsid w:val="00BE7644"/>
    <w:rsid w:val="00BE7F63"/>
    <w:rsid w:val="00BF002E"/>
    <w:rsid w:val="00BF028E"/>
    <w:rsid w:val="00BF02B3"/>
    <w:rsid w:val="00BF02CE"/>
    <w:rsid w:val="00BF0387"/>
    <w:rsid w:val="00BF07BF"/>
    <w:rsid w:val="00BF07CF"/>
    <w:rsid w:val="00BF0B47"/>
    <w:rsid w:val="00BF1369"/>
    <w:rsid w:val="00BF18B3"/>
    <w:rsid w:val="00BF1921"/>
    <w:rsid w:val="00BF19E4"/>
    <w:rsid w:val="00BF1BCC"/>
    <w:rsid w:val="00BF23EC"/>
    <w:rsid w:val="00BF28DA"/>
    <w:rsid w:val="00BF2913"/>
    <w:rsid w:val="00BF3697"/>
    <w:rsid w:val="00BF3893"/>
    <w:rsid w:val="00BF3DFD"/>
    <w:rsid w:val="00BF41E6"/>
    <w:rsid w:val="00BF4DB8"/>
    <w:rsid w:val="00BF4F4E"/>
    <w:rsid w:val="00BF5480"/>
    <w:rsid w:val="00BF55CE"/>
    <w:rsid w:val="00BF6297"/>
    <w:rsid w:val="00BF6357"/>
    <w:rsid w:val="00BF6521"/>
    <w:rsid w:val="00BF6DF1"/>
    <w:rsid w:val="00BF6FF2"/>
    <w:rsid w:val="00BF71E4"/>
    <w:rsid w:val="00BF7239"/>
    <w:rsid w:val="00BF749C"/>
    <w:rsid w:val="00BF78F8"/>
    <w:rsid w:val="00C002E6"/>
    <w:rsid w:val="00C00517"/>
    <w:rsid w:val="00C01047"/>
    <w:rsid w:val="00C01292"/>
    <w:rsid w:val="00C014FF"/>
    <w:rsid w:val="00C0160A"/>
    <w:rsid w:val="00C01958"/>
    <w:rsid w:val="00C022CA"/>
    <w:rsid w:val="00C023F1"/>
    <w:rsid w:val="00C02DBC"/>
    <w:rsid w:val="00C02E3A"/>
    <w:rsid w:val="00C02E9D"/>
    <w:rsid w:val="00C02F17"/>
    <w:rsid w:val="00C02FD3"/>
    <w:rsid w:val="00C03541"/>
    <w:rsid w:val="00C0354A"/>
    <w:rsid w:val="00C03C8A"/>
    <w:rsid w:val="00C03CC0"/>
    <w:rsid w:val="00C04829"/>
    <w:rsid w:val="00C04F0F"/>
    <w:rsid w:val="00C05315"/>
    <w:rsid w:val="00C055DB"/>
    <w:rsid w:val="00C056E2"/>
    <w:rsid w:val="00C060C3"/>
    <w:rsid w:val="00C0636B"/>
    <w:rsid w:val="00C06C67"/>
    <w:rsid w:val="00C06E48"/>
    <w:rsid w:val="00C06E57"/>
    <w:rsid w:val="00C07179"/>
    <w:rsid w:val="00C074C2"/>
    <w:rsid w:val="00C07753"/>
    <w:rsid w:val="00C07988"/>
    <w:rsid w:val="00C079AC"/>
    <w:rsid w:val="00C07B43"/>
    <w:rsid w:val="00C07B7A"/>
    <w:rsid w:val="00C07F2A"/>
    <w:rsid w:val="00C10314"/>
    <w:rsid w:val="00C10368"/>
    <w:rsid w:val="00C10CE0"/>
    <w:rsid w:val="00C10DC8"/>
    <w:rsid w:val="00C1132F"/>
    <w:rsid w:val="00C11839"/>
    <w:rsid w:val="00C11900"/>
    <w:rsid w:val="00C11AA1"/>
    <w:rsid w:val="00C124DC"/>
    <w:rsid w:val="00C12612"/>
    <w:rsid w:val="00C12891"/>
    <w:rsid w:val="00C13125"/>
    <w:rsid w:val="00C1358F"/>
    <w:rsid w:val="00C13677"/>
    <w:rsid w:val="00C13A92"/>
    <w:rsid w:val="00C13EEE"/>
    <w:rsid w:val="00C14AF7"/>
    <w:rsid w:val="00C154BF"/>
    <w:rsid w:val="00C15907"/>
    <w:rsid w:val="00C1599F"/>
    <w:rsid w:val="00C15B92"/>
    <w:rsid w:val="00C15DA0"/>
    <w:rsid w:val="00C15F92"/>
    <w:rsid w:val="00C1649F"/>
    <w:rsid w:val="00C1675A"/>
    <w:rsid w:val="00C16B0D"/>
    <w:rsid w:val="00C16C4F"/>
    <w:rsid w:val="00C16D9D"/>
    <w:rsid w:val="00C16E45"/>
    <w:rsid w:val="00C16F94"/>
    <w:rsid w:val="00C172D7"/>
    <w:rsid w:val="00C173E2"/>
    <w:rsid w:val="00C1770B"/>
    <w:rsid w:val="00C1774D"/>
    <w:rsid w:val="00C17A95"/>
    <w:rsid w:val="00C1D33F"/>
    <w:rsid w:val="00C20598"/>
    <w:rsid w:val="00C205E9"/>
    <w:rsid w:val="00C20813"/>
    <w:rsid w:val="00C20DFD"/>
    <w:rsid w:val="00C2113F"/>
    <w:rsid w:val="00C215E5"/>
    <w:rsid w:val="00C21A25"/>
    <w:rsid w:val="00C21A98"/>
    <w:rsid w:val="00C21E1E"/>
    <w:rsid w:val="00C222B4"/>
    <w:rsid w:val="00C2286B"/>
    <w:rsid w:val="00C22CF1"/>
    <w:rsid w:val="00C22FA8"/>
    <w:rsid w:val="00C22FE3"/>
    <w:rsid w:val="00C2316E"/>
    <w:rsid w:val="00C23420"/>
    <w:rsid w:val="00C235EE"/>
    <w:rsid w:val="00C237DB"/>
    <w:rsid w:val="00C24196"/>
    <w:rsid w:val="00C243C6"/>
    <w:rsid w:val="00C247C5"/>
    <w:rsid w:val="00C248B7"/>
    <w:rsid w:val="00C24BB5"/>
    <w:rsid w:val="00C24D2E"/>
    <w:rsid w:val="00C24E0D"/>
    <w:rsid w:val="00C251B6"/>
    <w:rsid w:val="00C25597"/>
    <w:rsid w:val="00C25E1C"/>
    <w:rsid w:val="00C2649B"/>
    <w:rsid w:val="00C2680B"/>
    <w:rsid w:val="00C26901"/>
    <w:rsid w:val="00C269DB"/>
    <w:rsid w:val="00C274D1"/>
    <w:rsid w:val="00C275AC"/>
    <w:rsid w:val="00C27AFA"/>
    <w:rsid w:val="00C29AF5"/>
    <w:rsid w:val="00C30741"/>
    <w:rsid w:val="00C31626"/>
    <w:rsid w:val="00C31C01"/>
    <w:rsid w:val="00C321C2"/>
    <w:rsid w:val="00C321F6"/>
    <w:rsid w:val="00C3235F"/>
    <w:rsid w:val="00C32508"/>
    <w:rsid w:val="00C326C7"/>
    <w:rsid w:val="00C326CC"/>
    <w:rsid w:val="00C3282C"/>
    <w:rsid w:val="00C32C7D"/>
    <w:rsid w:val="00C3316E"/>
    <w:rsid w:val="00C3356A"/>
    <w:rsid w:val="00C336A5"/>
    <w:rsid w:val="00C33C49"/>
    <w:rsid w:val="00C33EBF"/>
    <w:rsid w:val="00C3407E"/>
    <w:rsid w:val="00C3481A"/>
    <w:rsid w:val="00C349EE"/>
    <w:rsid w:val="00C34BD1"/>
    <w:rsid w:val="00C34BE9"/>
    <w:rsid w:val="00C3510B"/>
    <w:rsid w:val="00C3512A"/>
    <w:rsid w:val="00C3513F"/>
    <w:rsid w:val="00C352DF"/>
    <w:rsid w:val="00C35381"/>
    <w:rsid w:val="00C35691"/>
    <w:rsid w:val="00C35914"/>
    <w:rsid w:val="00C35AB1"/>
    <w:rsid w:val="00C364D4"/>
    <w:rsid w:val="00C364DA"/>
    <w:rsid w:val="00C36886"/>
    <w:rsid w:val="00C36BE5"/>
    <w:rsid w:val="00C36CB2"/>
    <w:rsid w:val="00C36DB0"/>
    <w:rsid w:val="00C372DA"/>
    <w:rsid w:val="00C37674"/>
    <w:rsid w:val="00C401C0"/>
    <w:rsid w:val="00C40299"/>
    <w:rsid w:val="00C408DD"/>
    <w:rsid w:val="00C40D1A"/>
    <w:rsid w:val="00C40D50"/>
    <w:rsid w:val="00C40F3A"/>
    <w:rsid w:val="00C40FDC"/>
    <w:rsid w:val="00C41289"/>
    <w:rsid w:val="00C41A34"/>
    <w:rsid w:val="00C41FE1"/>
    <w:rsid w:val="00C42D67"/>
    <w:rsid w:val="00C43481"/>
    <w:rsid w:val="00C43C1C"/>
    <w:rsid w:val="00C443B8"/>
    <w:rsid w:val="00C443EF"/>
    <w:rsid w:val="00C443FB"/>
    <w:rsid w:val="00C44954"/>
    <w:rsid w:val="00C449E6"/>
    <w:rsid w:val="00C44C73"/>
    <w:rsid w:val="00C44FA3"/>
    <w:rsid w:val="00C4533A"/>
    <w:rsid w:val="00C45928"/>
    <w:rsid w:val="00C45BB8"/>
    <w:rsid w:val="00C460B0"/>
    <w:rsid w:val="00C46333"/>
    <w:rsid w:val="00C466B3"/>
    <w:rsid w:val="00C46A4D"/>
    <w:rsid w:val="00C46DA2"/>
    <w:rsid w:val="00C46FD4"/>
    <w:rsid w:val="00C4707C"/>
    <w:rsid w:val="00C470DE"/>
    <w:rsid w:val="00C4718C"/>
    <w:rsid w:val="00C47898"/>
    <w:rsid w:val="00C478A7"/>
    <w:rsid w:val="00C47A17"/>
    <w:rsid w:val="00C47BAC"/>
    <w:rsid w:val="00C47C2C"/>
    <w:rsid w:val="00C47F9B"/>
    <w:rsid w:val="00C47FE8"/>
    <w:rsid w:val="00C500A9"/>
    <w:rsid w:val="00C502BB"/>
    <w:rsid w:val="00C503FB"/>
    <w:rsid w:val="00C506A2"/>
    <w:rsid w:val="00C5076C"/>
    <w:rsid w:val="00C50A55"/>
    <w:rsid w:val="00C50E8C"/>
    <w:rsid w:val="00C50EAE"/>
    <w:rsid w:val="00C51001"/>
    <w:rsid w:val="00C513AE"/>
    <w:rsid w:val="00C51708"/>
    <w:rsid w:val="00C51948"/>
    <w:rsid w:val="00C51A5C"/>
    <w:rsid w:val="00C51DD8"/>
    <w:rsid w:val="00C51F3E"/>
    <w:rsid w:val="00C52C8C"/>
    <w:rsid w:val="00C52D56"/>
    <w:rsid w:val="00C53BF4"/>
    <w:rsid w:val="00C53D26"/>
    <w:rsid w:val="00C5439B"/>
    <w:rsid w:val="00C545D5"/>
    <w:rsid w:val="00C54620"/>
    <w:rsid w:val="00C54A37"/>
    <w:rsid w:val="00C54B6D"/>
    <w:rsid w:val="00C54DA3"/>
    <w:rsid w:val="00C54F3E"/>
    <w:rsid w:val="00C5518B"/>
    <w:rsid w:val="00C55795"/>
    <w:rsid w:val="00C55891"/>
    <w:rsid w:val="00C55ECA"/>
    <w:rsid w:val="00C56104"/>
    <w:rsid w:val="00C567E2"/>
    <w:rsid w:val="00C567F8"/>
    <w:rsid w:val="00C56952"/>
    <w:rsid w:val="00C56CBC"/>
    <w:rsid w:val="00C56FA6"/>
    <w:rsid w:val="00C56FB5"/>
    <w:rsid w:val="00C573D9"/>
    <w:rsid w:val="00C5742E"/>
    <w:rsid w:val="00C574A8"/>
    <w:rsid w:val="00C575D4"/>
    <w:rsid w:val="00C57CA3"/>
    <w:rsid w:val="00C57E12"/>
    <w:rsid w:val="00C60501"/>
    <w:rsid w:val="00C60A1E"/>
    <w:rsid w:val="00C60F82"/>
    <w:rsid w:val="00C61154"/>
    <w:rsid w:val="00C61224"/>
    <w:rsid w:val="00C615E8"/>
    <w:rsid w:val="00C6165E"/>
    <w:rsid w:val="00C61C34"/>
    <w:rsid w:val="00C61D27"/>
    <w:rsid w:val="00C61FAD"/>
    <w:rsid w:val="00C622AB"/>
    <w:rsid w:val="00C6252D"/>
    <w:rsid w:val="00C62743"/>
    <w:rsid w:val="00C630D5"/>
    <w:rsid w:val="00C6313C"/>
    <w:rsid w:val="00C632CB"/>
    <w:rsid w:val="00C63389"/>
    <w:rsid w:val="00C634E4"/>
    <w:rsid w:val="00C6376E"/>
    <w:rsid w:val="00C63817"/>
    <w:rsid w:val="00C64025"/>
    <w:rsid w:val="00C6406E"/>
    <w:rsid w:val="00C64A88"/>
    <w:rsid w:val="00C64BDD"/>
    <w:rsid w:val="00C64CA6"/>
    <w:rsid w:val="00C64D63"/>
    <w:rsid w:val="00C6524B"/>
    <w:rsid w:val="00C65E68"/>
    <w:rsid w:val="00C6648E"/>
    <w:rsid w:val="00C66505"/>
    <w:rsid w:val="00C6660F"/>
    <w:rsid w:val="00C666D4"/>
    <w:rsid w:val="00C66A9D"/>
    <w:rsid w:val="00C66CDD"/>
    <w:rsid w:val="00C66E56"/>
    <w:rsid w:val="00C66E83"/>
    <w:rsid w:val="00C66FA7"/>
    <w:rsid w:val="00C67022"/>
    <w:rsid w:val="00C67622"/>
    <w:rsid w:val="00C67B2B"/>
    <w:rsid w:val="00C67BF5"/>
    <w:rsid w:val="00C67C9A"/>
    <w:rsid w:val="00C67DC2"/>
    <w:rsid w:val="00C67F09"/>
    <w:rsid w:val="00C706BD"/>
    <w:rsid w:val="00C7090D"/>
    <w:rsid w:val="00C7106E"/>
    <w:rsid w:val="00C71383"/>
    <w:rsid w:val="00C7155C"/>
    <w:rsid w:val="00C7164E"/>
    <w:rsid w:val="00C71661"/>
    <w:rsid w:val="00C717F1"/>
    <w:rsid w:val="00C71C77"/>
    <w:rsid w:val="00C71D1B"/>
    <w:rsid w:val="00C72080"/>
    <w:rsid w:val="00C72507"/>
    <w:rsid w:val="00C72628"/>
    <w:rsid w:val="00C72FA7"/>
    <w:rsid w:val="00C73268"/>
    <w:rsid w:val="00C736EC"/>
    <w:rsid w:val="00C73788"/>
    <w:rsid w:val="00C739EF"/>
    <w:rsid w:val="00C73EF4"/>
    <w:rsid w:val="00C740E0"/>
    <w:rsid w:val="00C74308"/>
    <w:rsid w:val="00C743A2"/>
    <w:rsid w:val="00C747AD"/>
    <w:rsid w:val="00C74F93"/>
    <w:rsid w:val="00C7502A"/>
    <w:rsid w:val="00C750F8"/>
    <w:rsid w:val="00C75782"/>
    <w:rsid w:val="00C75860"/>
    <w:rsid w:val="00C76906"/>
    <w:rsid w:val="00C7691B"/>
    <w:rsid w:val="00C772D8"/>
    <w:rsid w:val="00C7734B"/>
    <w:rsid w:val="00C77542"/>
    <w:rsid w:val="00C80000"/>
    <w:rsid w:val="00C806F7"/>
    <w:rsid w:val="00C80986"/>
    <w:rsid w:val="00C80A72"/>
    <w:rsid w:val="00C80D0B"/>
    <w:rsid w:val="00C80DFF"/>
    <w:rsid w:val="00C80FA0"/>
    <w:rsid w:val="00C80FE1"/>
    <w:rsid w:val="00C81597"/>
    <w:rsid w:val="00C81CC0"/>
    <w:rsid w:val="00C822A8"/>
    <w:rsid w:val="00C82389"/>
    <w:rsid w:val="00C8268A"/>
    <w:rsid w:val="00C826D9"/>
    <w:rsid w:val="00C827B8"/>
    <w:rsid w:val="00C829E8"/>
    <w:rsid w:val="00C82E47"/>
    <w:rsid w:val="00C83A99"/>
    <w:rsid w:val="00C83C31"/>
    <w:rsid w:val="00C84C04"/>
    <w:rsid w:val="00C84FAF"/>
    <w:rsid w:val="00C85098"/>
    <w:rsid w:val="00C85169"/>
    <w:rsid w:val="00C85213"/>
    <w:rsid w:val="00C855C6"/>
    <w:rsid w:val="00C85C57"/>
    <w:rsid w:val="00C85EB2"/>
    <w:rsid w:val="00C85EE4"/>
    <w:rsid w:val="00C86201"/>
    <w:rsid w:val="00C8666F"/>
    <w:rsid w:val="00C86955"/>
    <w:rsid w:val="00C86E84"/>
    <w:rsid w:val="00C87396"/>
    <w:rsid w:val="00C8765C"/>
    <w:rsid w:val="00C877BB"/>
    <w:rsid w:val="00C87A77"/>
    <w:rsid w:val="00C87D9C"/>
    <w:rsid w:val="00C9036C"/>
    <w:rsid w:val="00C90C5C"/>
    <w:rsid w:val="00C9124C"/>
    <w:rsid w:val="00C912A7"/>
    <w:rsid w:val="00C9130B"/>
    <w:rsid w:val="00C91F2D"/>
    <w:rsid w:val="00C921C1"/>
    <w:rsid w:val="00C92653"/>
    <w:rsid w:val="00C92815"/>
    <w:rsid w:val="00C92906"/>
    <w:rsid w:val="00C92A5B"/>
    <w:rsid w:val="00C92D66"/>
    <w:rsid w:val="00C935A7"/>
    <w:rsid w:val="00C942F7"/>
    <w:rsid w:val="00C944FF"/>
    <w:rsid w:val="00C94771"/>
    <w:rsid w:val="00C94BA8"/>
    <w:rsid w:val="00C94F54"/>
    <w:rsid w:val="00C9515B"/>
    <w:rsid w:val="00C952AE"/>
    <w:rsid w:val="00C95392"/>
    <w:rsid w:val="00C95534"/>
    <w:rsid w:val="00C9555D"/>
    <w:rsid w:val="00C95754"/>
    <w:rsid w:val="00C95D0B"/>
    <w:rsid w:val="00C95DD0"/>
    <w:rsid w:val="00C96357"/>
    <w:rsid w:val="00C9648A"/>
    <w:rsid w:val="00C96A04"/>
    <w:rsid w:val="00C96B2C"/>
    <w:rsid w:val="00C96C4D"/>
    <w:rsid w:val="00C97E7C"/>
    <w:rsid w:val="00CA0350"/>
    <w:rsid w:val="00CA0A1B"/>
    <w:rsid w:val="00CA0A50"/>
    <w:rsid w:val="00CA1180"/>
    <w:rsid w:val="00CA12F2"/>
    <w:rsid w:val="00CA1994"/>
    <w:rsid w:val="00CA23B3"/>
    <w:rsid w:val="00CA2588"/>
    <w:rsid w:val="00CA291F"/>
    <w:rsid w:val="00CA2B1F"/>
    <w:rsid w:val="00CA2C82"/>
    <w:rsid w:val="00CA3107"/>
    <w:rsid w:val="00CA3555"/>
    <w:rsid w:val="00CA3709"/>
    <w:rsid w:val="00CA37AF"/>
    <w:rsid w:val="00CA39E1"/>
    <w:rsid w:val="00CA405D"/>
    <w:rsid w:val="00CA4442"/>
    <w:rsid w:val="00CA4C75"/>
    <w:rsid w:val="00CA5629"/>
    <w:rsid w:val="00CA5699"/>
    <w:rsid w:val="00CA5935"/>
    <w:rsid w:val="00CA5AF4"/>
    <w:rsid w:val="00CA5E18"/>
    <w:rsid w:val="00CA62C8"/>
    <w:rsid w:val="00CA6C20"/>
    <w:rsid w:val="00CA7CB1"/>
    <w:rsid w:val="00CB00D1"/>
    <w:rsid w:val="00CB0348"/>
    <w:rsid w:val="00CB0597"/>
    <w:rsid w:val="00CB074A"/>
    <w:rsid w:val="00CB0BF5"/>
    <w:rsid w:val="00CB0BF7"/>
    <w:rsid w:val="00CB0DE8"/>
    <w:rsid w:val="00CB103B"/>
    <w:rsid w:val="00CB126C"/>
    <w:rsid w:val="00CB1333"/>
    <w:rsid w:val="00CB13F7"/>
    <w:rsid w:val="00CB14D7"/>
    <w:rsid w:val="00CB17AB"/>
    <w:rsid w:val="00CB256B"/>
    <w:rsid w:val="00CB35FD"/>
    <w:rsid w:val="00CB386B"/>
    <w:rsid w:val="00CB3DC6"/>
    <w:rsid w:val="00CB4035"/>
    <w:rsid w:val="00CB40E1"/>
    <w:rsid w:val="00CB42AD"/>
    <w:rsid w:val="00CB4624"/>
    <w:rsid w:val="00CB464E"/>
    <w:rsid w:val="00CB4A2D"/>
    <w:rsid w:val="00CB4B89"/>
    <w:rsid w:val="00CB4BEE"/>
    <w:rsid w:val="00CB4C95"/>
    <w:rsid w:val="00CB50A2"/>
    <w:rsid w:val="00CB5131"/>
    <w:rsid w:val="00CB5574"/>
    <w:rsid w:val="00CB597C"/>
    <w:rsid w:val="00CB5E16"/>
    <w:rsid w:val="00CB60E8"/>
    <w:rsid w:val="00CB630B"/>
    <w:rsid w:val="00CB6328"/>
    <w:rsid w:val="00CB69BF"/>
    <w:rsid w:val="00CB6A1F"/>
    <w:rsid w:val="00CB7348"/>
    <w:rsid w:val="00CB7441"/>
    <w:rsid w:val="00CB766D"/>
    <w:rsid w:val="00CB7783"/>
    <w:rsid w:val="00CB7A31"/>
    <w:rsid w:val="00CB7CFA"/>
    <w:rsid w:val="00CB7E25"/>
    <w:rsid w:val="00CC08A9"/>
    <w:rsid w:val="00CC08E0"/>
    <w:rsid w:val="00CC0FF0"/>
    <w:rsid w:val="00CC1BE1"/>
    <w:rsid w:val="00CC1DB0"/>
    <w:rsid w:val="00CC1E1B"/>
    <w:rsid w:val="00CC2161"/>
    <w:rsid w:val="00CC22C0"/>
    <w:rsid w:val="00CC291E"/>
    <w:rsid w:val="00CC29D9"/>
    <w:rsid w:val="00CC29E9"/>
    <w:rsid w:val="00CC313E"/>
    <w:rsid w:val="00CC3AAB"/>
    <w:rsid w:val="00CC3B8D"/>
    <w:rsid w:val="00CC3D95"/>
    <w:rsid w:val="00CC3FB0"/>
    <w:rsid w:val="00CC41C3"/>
    <w:rsid w:val="00CC479D"/>
    <w:rsid w:val="00CC4DC9"/>
    <w:rsid w:val="00CC5B3F"/>
    <w:rsid w:val="00CC5D30"/>
    <w:rsid w:val="00CC5DE1"/>
    <w:rsid w:val="00CC5ED2"/>
    <w:rsid w:val="00CC6245"/>
    <w:rsid w:val="00CC64D0"/>
    <w:rsid w:val="00CC6A0A"/>
    <w:rsid w:val="00CC6C33"/>
    <w:rsid w:val="00CC7113"/>
    <w:rsid w:val="00CC7478"/>
    <w:rsid w:val="00CC74D2"/>
    <w:rsid w:val="00CC77CD"/>
    <w:rsid w:val="00CC781A"/>
    <w:rsid w:val="00CC7B5A"/>
    <w:rsid w:val="00CC7CA5"/>
    <w:rsid w:val="00CC7D5D"/>
    <w:rsid w:val="00CC7DDB"/>
    <w:rsid w:val="00CD03EC"/>
    <w:rsid w:val="00CD04CA"/>
    <w:rsid w:val="00CD0DF5"/>
    <w:rsid w:val="00CD1B0B"/>
    <w:rsid w:val="00CD206B"/>
    <w:rsid w:val="00CD2167"/>
    <w:rsid w:val="00CD26F0"/>
    <w:rsid w:val="00CD2B3C"/>
    <w:rsid w:val="00CD307A"/>
    <w:rsid w:val="00CD33F3"/>
    <w:rsid w:val="00CD3AA4"/>
    <w:rsid w:val="00CD3D86"/>
    <w:rsid w:val="00CD4066"/>
    <w:rsid w:val="00CD444A"/>
    <w:rsid w:val="00CD45EF"/>
    <w:rsid w:val="00CD4AE6"/>
    <w:rsid w:val="00CD4B73"/>
    <w:rsid w:val="00CD4B86"/>
    <w:rsid w:val="00CD4C6B"/>
    <w:rsid w:val="00CD52A1"/>
    <w:rsid w:val="00CD684E"/>
    <w:rsid w:val="00CD6C8C"/>
    <w:rsid w:val="00CD74FC"/>
    <w:rsid w:val="00CD7A9D"/>
    <w:rsid w:val="00CD7C79"/>
    <w:rsid w:val="00CD7E8C"/>
    <w:rsid w:val="00CE0906"/>
    <w:rsid w:val="00CE0B03"/>
    <w:rsid w:val="00CE0D17"/>
    <w:rsid w:val="00CE114A"/>
    <w:rsid w:val="00CE1265"/>
    <w:rsid w:val="00CE157D"/>
    <w:rsid w:val="00CE16AB"/>
    <w:rsid w:val="00CE1A01"/>
    <w:rsid w:val="00CE1BB6"/>
    <w:rsid w:val="00CE2010"/>
    <w:rsid w:val="00CE21EE"/>
    <w:rsid w:val="00CE245F"/>
    <w:rsid w:val="00CE2E2E"/>
    <w:rsid w:val="00CE2E71"/>
    <w:rsid w:val="00CE2F0F"/>
    <w:rsid w:val="00CE39B1"/>
    <w:rsid w:val="00CE3EDB"/>
    <w:rsid w:val="00CE3F04"/>
    <w:rsid w:val="00CE46C6"/>
    <w:rsid w:val="00CE47F3"/>
    <w:rsid w:val="00CE4B69"/>
    <w:rsid w:val="00CE4E49"/>
    <w:rsid w:val="00CE5054"/>
    <w:rsid w:val="00CE5289"/>
    <w:rsid w:val="00CE56B7"/>
    <w:rsid w:val="00CE582E"/>
    <w:rsid w:val="00CE5B1D"/>
    <w:rsid w:val="00CE5B2C"/>
    <w:rsid w:val="00CE5BE1"/>
    <w:rsid w:val="00CE5D04"/>
    <w:rsid w:val="00CE5D55"/>
    <w:rsid w:val="00CE629B"/>
    <w:rsid w:val="00CE6AA5"/>
    <w:rsid w:val="00CE7426"/>
    <w:rsid w:val="00CE7E06"/>
    <w:rsid w:val="00CE7F81"/>
    <w:rsid w:val="00CF0299"/>
    <w:rsid w:val="00CF0532"/>
    <w:rsid w:val="00CF0689"/>
    <w:rsid w:val="00CF088E"/>
    <w:rsid w:val="00CF0972"/>
    <w:rsid w:val="00CF0EB7"/>
    <w:rsid w:val="00CF12A8"/>
    <w:rsid w:val="00CF1445"/>
    <w:rsid w:val="00CF1705"/>
    <w:rsid w:val="00CF1C40"/>
    <w:rsid w:val="00CF1D9C"/>
    <w:rsid w:val="00CF20E3"/>
    <w:rsid w:val="00CF279F"/>
    <w:rsid w:val="00CF2C10"/>
    <w:rsid w:val="00CF2F08"/>
    <w:rsid w:val="00CF2FD0"/>
    <w:rsid w:val="00CF3036"/>
    <w:rsid w:val="00CF3496"/>
    <w:rsid w:val="00CF4194"/>
    <w:rsid w:val="00CF4267"/>
    <w:rsid w:val="00CF435B"/>
    <w:rsid w:val="00CF43A9"/>
    <w:rsid w:val="00CF43E4"/>
    <w:rsid w:val="00CF4F2B"/>
    <w:rsid w:val="00CF582A"/>
    <w:rsid w:val="00CF59B0"/>
    <w:rsid w:val="00CF5E38"/>
    <w:rsid w:val="00CF5FE0"/>
    <w:rsid w:val="00CF6859"/>
    <w:rsid w:val="00CF687E"/>
    <w:rsid w:val="00CF6C95"/>
    <w:rsid w:val="00CF6FE4"/>
    <w:rsid w:val="00CF6FF9"/>
    <w:rsid w:val="00CF7127"/>
    <w:rsid w:val="00CF73E3"/>
    <w:rsid w:val="00CF7AE8"/>
    <w:rsid w:val="00CF7FAB"/>
    <w:rsid w:val="00D0045C"/>
    <w:rsid w:val="00D004C2"/>
    <w:rsid w:val="00D009F6"/>
    <w:rsid w:val="00D0162C"/>
    <w:rsid w:val="00D01ED9"/>
    <w:rsid w:val="00D01F84"/>
    <w:rsid w:val="00D02187"/>
    <w:rsid w:val="00D02FF3"/>
    <w:rsid w:val="00D0304A"/>
    <w:rsid w:val="00D034BF"/>
    <w:rsid w:val="00D0388E"/>
    <w:rsid w:val="00D03AA2"/>
    <w:rsid w:val="00D03AB7"/>
    <w:rsid w:val="00D03B21"/>
    <w:rsid w:val="00D042A2"/>
    <w:rsid w:val="00D04403"/>
    <w:rsid w:val="00D049C8"/>
    <w:rsid w:val="00D052A8"/>
    <w:rsid w:val="00D05479"/>
    <w:rsid w:val="00D05602"/>
    <w:rsid w:val="00D05739"/>
    <w:rsid w:val="00D058FD"/>
    <w:rsid w:val="00D05A78"/>
    <w:rsid w:val="00D06BAA"/>
    <w:rsid w:val="00D06D5D"/>
    <w:rsid w:val="00D06E44"/>
    <w:rsid w:val="00D07C18"/>
    <w:rsid w:val="00D10155"/>
    <w:rsid w:val="00D101EB"/>
    <w:rsid w:val="00D10521"/>
    <w:rsid w:val="00D11424"/>
    <w:rsid w:val="00D116C6"/>
    <w:rsid w:val="00D11DF1"/>
    <w:rsid w:val="00D12269"/>
    <w:rsid w:val="00D12474"/>
    <w:rsid w:val="00D12571"/>
    <w:rsid w:val="00D127D0"/>
    <w:rsid w:val="00D12933"/>
    <w:rsid w:val="00D12BEE"/>
    <w:rsid w:val="00D13517"/>
    <w:rsid w:val="00D136B5"/>
    <w:rsid w:val="00D138B3"/>
    <w:rsid w:val="00D13C1A"/>
    <w:rsid w:val="00D13E00"/>
    <w:rsid w:val="00D13E5D"/>
    <w:rsid w:val="00D13ED4"/>
    <w:rsid w:val="00D142C5"/>
    <w:rsid w:val="00D147D7"/>
    <w:rsid w:val="00D1483F"/>
    <w:rsid w:val="00D14ED7"/>
    <w:rsid w:val="00D14F23"/>
    <w:rsid w:val="00D14F89"/>
    <w:rsid w:val="00D151C6"/>
    <w:rsid w:val="00D15366"/>
    <w:rsid w:val="00D15701"/>
    <w:rsid w:val="00D15AD0"/>
    <w:rsid w:val="00D15B77"/>
    <w:rsid w:val="00D16259"/>
    <w:rsid w:val="00D167BC"/>
    <w:rsid w:val="00D167CB"/>
    <w:rsid w:val="00D16CA9"/>
    <w:rsid w:val="00D16D56"/>
    <w:rsid w:val="00D1705B"/>
    <w:rsid w:val="00D1797A"/>
    <w:rsid w:val="00D17FD5"/>
    <w:rsid w:val="00D20309"/>
    <w:rsid w:val="00D203BE"/>
    <w:rsid w:val="00D20581"/>
    <w:rsid w:val="00D20E38"/>
    <w:rsid w:val="00D20E80"/>
    <w:rsid w:val="00D20EFD"/>
    <w:rsid w:val="00D2143A"/>
    <w:rsid w:val="00D21575"/>
    <w:rsid w:val="00D222A3"/>
    <w:rsid w:val="00D22317"/>
    <w:rsid w:val="00D227FD"/>
    <w:rsid w:val="00D22B60"/>
    <w:rsid w:val="00D22C89"/>
    <w:rsid w:val="00D22FA9"/>
    <w:rsid w:val="00D230CE"/>
    <w:rsid w:val="00D23503"/>
    <w:rsid w:val="00D2364A"/>
    <w:rsid w:val="00D23D38"/>
    <w:rsid w:val="00D24189"/>
    <w:rsid w:val="00D243C7"/>
    <w:rsid w:val="00D244B8"/>
    <w:rsid w:val="00D2585F"/>
    <w:rsid w:val="00D25871"/>
    <w:rsid w:val="00D25EE3"/>
    <w:rsid w:val="00D260C7"/>
    <w:rsid w:val="00D26341"/>
    <w:rsid w:val="00D26361"/>
    <w:rsid w:val="00D26486"/>
    <w:rsid w:val="00D26697"/>
    <w:rsid w:val="00D26ABB"/>
    <w:rsid w:val="00D27009"/>
    <w:rsid w:val="00D27405"/>
    <w:rsid w:val="00D275CA"/>
    <w:rsid w:val="00D277E1"/>
    <w:rsid w:val="00D27BAA"/>
    <w:rsid w:val="00D27F05"/>
    <w:rsid w:val="00D30045"/>
    <w:rsid w:val="00D30E8B"/>
    <w:rsid w:val="00D314A8"/>
    <w:rsid w:val="00D31544"/>
    <w:rsid w:val="00D31570"/>
    <w:rsid w:val="00D31A1C"/>
    <w:rsid w:val="00D31CD3"/>
    <w:rsid w:val="00D31D93"/>
    <w:rsid w:val="00D31F1C"/>
    <w:rsid w:val="00D31FD5"/>
    <w:rsid w:val="00D32308"/>
    <w:rsid w:val="00D32312"/>
    <w:rsid w:val="00D32323"/>
    <w:rsid w:val="00D32FA6"/>
    <w:rsid w:val="00D332A2"/>
    <w:rsid w:val="00D33428"/>
    <w:rsid w:val="00D33573"/>
    <w:rsid w:val="00D3382D"/>
    <w:rsid w:val="00D33856"/>
    <w:rsid w:val="00D33F33"/>
    <w:rsid w:val="00D3426B"/>
    <w:rsid w:val="00D34A42"/>
    <w:rsid w:val="00D34AD3"/>
    <w:rsid w:val="00D35030"/>
    <w:rsid w:val="00D35107"/>
    <w:rsid w:val="00D35305"/>
    <w:rsid w:val="00D357CC"/>
    <w:rsid w:val="00D35BFF"/>
    <w:rsid w:val="00D35CA0"/>
    <w:rsid w:val="00D35E1B"/>
    <w:rsid w:val="00D35E8C"/>
    <w:rsid w:val="00D36873"/>
    <w:rsid w:val="00D3689F"/>
    <w:rsid w:val="00D36B3B"/>
    <w:rsid w:val="00D36BD7"/>
    <w:rsid w:val="00D36F21"/>
    <w:rsid w:val="00D37211"/>
    <w:rsid w:val="00D3761B"/>
    <w:rsid w:val="00D37687"/>
    <w:rsid w:val="00D3798A"/>
    <w:rsid w:val="00D37B9F"/>
    <w:rsid w:val="00D37C79"/>
    <w:rsid w:val="00D37E8F"/>
    <w:rsid w:val="00D400AF"/>
    <w:rsid w:val="00D40130"/>
    <w:rsid w:val="00D40394"/>
    <w:rsid w:val="00D40739"/>
    <w:rsid w:val="00D40BC8"/>
    <w:rsid w:val="00D40C9F"/>
    <w:rsid w:val="00D4169B"/>
    <w:rsid w:val="00D42325"/>
    <w:rsid w:val="00D42D6E"/>
    <w:rsid w:val="00D42D9B"/>
    <w:rsid w:val="00D42EDD"/>
    <w:rsid w:val="00D433D7"/>
    <w:rsid w:val="00D4340C"/>
    <w:rsid w:val="00D437FE"/>
    <w:rsid w:val="00D4380D"/>
    <w:rsid w:val="00D43ABD"/>
    <w:rsid w:val="00D4439B"/>
    <w:rsid w:val="00D445B9"/>
    <w:rsid w:val="00D44694"/>
    <w:rsid w:val="00D44723"/>
    <w:rsid w:val="00D44D33"/>
    <w:rsid w:val="00D44D89"/>
    <w:rsid w:val="00D45130"/>
    <w:rsid w:val="00D45329"/>
    <w:rsid w:val="00D45EAC"/>
    <w:rsid w:val="00D46092"/>
    <w:rsid w:val="00D46172"/>
    <w:rsid w:val="00D463C0"/>
    <w:rsid w:val="00D464DB"/>
    <w:rsid w:val="00D466A0"/>
    <w:rsid w:val="00D46859"/>
    <w:rsid w:val="00D46B5A"/>
    <w:rsid w:val="00D46C43"/>
    <w:rsid w:val="00D46F87"/>
    <w:rsid w:val="00D4702C"/>
    <w:rsid w:val="00D47447"/>
    <w:rsid w:val="00D475E7"/>
    <w:rsid w:val="00D477A6"/>
    <w:rsid w:val="00D477B3"/>
    <w:rsid w:val="00D4793B"/>
    <w:rsid w:val="00D47B8F"/>
    <w:rsid w:val="00D50547"/>
    <w:rsid w:val="00D506AD"/>
    <w:rsid w:val="00D50BD8"/>
    <w:rsid w:val="00D50D63"/>
    <w:rsid w:val="00D511A1"/>
    <w:rsid w:val="00D516DC"/>
    <w:rsid w:val="00D517FA"/>
    <w:rsid w:val="00D51DA6"/>
    <w:rsid w:val="00D51DEF"/>
    <w:rsid w:val="00D51F1F"/>
    <w:rsid w:val="00D5204B"/>
    <w:rsid w:val="00D52200"/>
    <w:rsid w:val="00D524D1"/>
    <w:rsid w:val="00D52C6F"/>
    <w:rsid w:val="00D52F9F"/>
    <w:rsid w:val="00D530F6"/>
    <w:rsid w:val="00D5315A"/>
    <w:rsid w:val="00D53853"/>
    <w:rsid w:val="00D53BF5"/>
    <w:rsid w:val="00D540AD"/>
    <w:rsid w:val="00D5421A"/>
    <w:rsid w:val="00D54AA4"/>
    <w:rsid w:val="00D54B2C"/>
    <w:rsid w:val="00D54BD8"/>
    <w:rsid w:val="00D54D0B"/>
    <w:rsid w:val="00D54D1A"/>
    <w:rsid w:val="00D54DE9"/>
    <w:rsid w:val="00D554F6"/>
    <w:rsid w:val="00D55998"/>
    <w:rsid w:val="00D559A7"/>
    <w:rsid w:val="00D559B5"/>
    <w:rsid w:val="00D55A26"/>
    <w:rsid w:val="00D55A47"/>
    <w:rsid w:val="00D55E23"/>
    <w:rsid w:val="00D562CA"/>
    <w:rsid w:val="00D562CC"/>
    <w:rsid w:val="00D56307"/>
    <w:rsid w:val="00D56438"/>
    <w:rsid w:val="00D56E25"/>
    <w:rsid w:val="00D56E3F"/>
    <w:rsid w:val="00D57432"/>
    <w:rsid w:val="00D57A5B"/>
    <w:rsid w:val="00D57C07"/>
    <w:rsid w:val="00D57F7C"/>
    <w:rsid w:val="00D60597"/>
    <w:rsid w:val="00D60AE9"/>
    <w:rsid w:val="00D610F2"/>
    <w:rsid w:val="00D61257"/>
    <w:rsid w:val="00D620F3"/>
    <w:rsid w:val="00D622FC"/>
    <w:rsid w:val="00D6263C"/>
    <w:rsid w:val="00D6264C"/>
    <w:rsid w:val="00D62672"/>
    <w:rsid w:val="00D62B68"/>
    <w:rsid w:val="00D62F9E"/>
    <w:rsid w:val="00D63E8B"/>
    <w:rsid w:val="00D640CC"/>
    <w:rsid w:val="00D64338"/>
    <w:rsid w:val="00D6470D"/>
    <w:rsid w:val="00D647D4"/>
    <w:rsid w:val="00D64DCD"/>
    <w:rsid w:val="00D65336"/>
    <w:rsid w:val="00D65EAC"/>
    <w:rsid w:val="00D664B4"/>
    <w:rsid w:val="00D66802"/>
    <w:rsid w:val="00D669FA"/>
    <w:rsid w:val="00D66BF6"/>
    <w:rsid w:val="00D6730F"/>
    <w:rsid w:val="00D67BAB"/>
    <w:rsid w:val="00D67C58"/>
    <w:rsid w:val="00D7011C"/>
    <w:rsid w:val="00D7035E"/>
    <w:rsid w:val="00D704B0"/>
    <w:rsid w:val="00D70A53"/>
    <w:rsid w:val="00D7113F"/>
    <w:rsid w:val="00D7154A"/>
    <w:rsid w:val="00D71773"/>
    <w:rsid w:val="00D71D67"/>
    <w:rsid w:val="00D72344"/>
    <w:rsid w:val="00D72773"/>
    <w:rsid w:val="00D72861"/>
    <w:rsid w:val="00D72900"/>
    <w:rsid w:val="00D73000"/>
    <w:rsid w:val="00D736B1"/>
    <w:rsid w:val="00D737BC"/>
    <w:rsid w:val="00D73BCA"/>
    <w:rsid w:val="00D73F31"/>
    <w:rsid w:val="00D7438D"/>
    <w:rsid w:val="00D74F29"/>
    <w:rsid w:val="00D74FC9"/>
    <w:rsid w:val="00D75343"/>
    <w:rsid w:val="00D75572"/>
    <w:rsid w:val="00D7591A"/>
    <w:rsid w:val="00D75A13"/>
    <w:rsid w:val="00D75EED"/>
    <w:rsid w:val="00D762B1"/>
    <w:rsid w:val="00D762F7"/>
    <w:rsid w:val="00D7639A"/>
    <w:rsid w:val="00D7648F"/>
    <w:rsid w:val="00D76B46"/>
    <w:rsid w:val="00D77A39"/>
    <w:rsid w:val="00D77AE8"/>
    <w:rsid w:val="00D77DDE"/>
    <w:rsid w:val="00D77E0B"/>
    <w:rsid w:val="00D80060"/>
    <w:rsid w:val="00D8072C"/>
    <w:rsid w:val="00D80BC6"/>
    <w:rsid w:val="00D80EFB"/>
    <w:rsid w:val="00D80FE8"/>
    <w:rsid w:val="00D815E6"/>
    <w:rsid w:val="00D8245B"/>
    <w:rsid w:val="00D828F2"/>
    <w:rsid w:val="00D828FD"/>
    <w:rsid w:val="00D82CA7"/>
    <w:rsid w:val="00D82DF1"/>
    <w:rsid w:val="00D83078"/>
    <w:rsid w:val="00D831B4"/>
    <w:rsid w:val="00D83423"/>
    <w:rsid w:val="00D8363F"/>
    <w:rsid w:val="00D83701"/>
    <w:rsid w:val="00D8374D"/>
    <w:rsid w:val="00D83E29"/>
    <w:rsid w:val="00D83ED2"/>
    <w:rsid w:val="00D84324"/>
    <w:rsid w:val="00D843FF"/>
    <w:rsid w:val="00D84763"/>
    <w:rsid w:val="00D85D54"/>
    <w:rsid w:val="00D862E2"/>
    <w:rsid w:val="00D863A1"/>
    <w:rsid w:val="00D867C2"/>
    <w:rsid w:val="00D8697B"/>
    <w:rsid w:val="00D872E9"/>
    <w:rsid w:val="00D872F8"/>
    <w:rsid w:val="00D879CF"/>
    <w:rsid w:val="00D879FD"/>
    <w:rsid w:val="00D87B6B"/>
    <w:rsid w:val="00D87FC7"/>
    <w:rsid w:val="00D90458"/>
    <w:rsid w:val="00D904C8"/>
    <w:rsid w:val="00D904DA"/>
    <w:rsid w:val="00D9067B"/>
    <w:rsid w:val="00D911CD"/>
    <w:rsid w:val="00D916C6"/>
    <w:rsid w:val="00D919DE"/>
    <w:rsid w:val="00D91A42"/>
    <w:rsid w:val="00D92867"/>
    <w:rsid w:val="00D93087"/>
    <w:rsid w:val="00D932D1"/>
    <w:rsid w:val="00D93831"/>
    <w:rsid w:val="00D93BEC"/>
    <w:rsid w:val="00D93C60"/>
    <w:rsid w:val="00D93F34"/>
    <w:rsid w:val="00D941AC"/>
    <w:rsid w:val="00D9422F"/>
    <w:rsid w:val="00D944F5"/>
    <w:rsid w:val="00D94794"/>
    <w:rsid w:val="00D9483D"/>
    <w:rsid w:val="00D94B87"/>
    <w:rsid w:val="00D94C32"/>
    <w:rsid w:val="00D94D80"/>
    <w:rsid w:val="00D94E8A"/>
    <w:rsid w:val="00D9528F"/>
    <w:rsid w:val="00D9538C"/>
    <w:rsid w:val="00D95824"/>
    <w:rsid w:val="00D9588F"/>
    <w:rsid w:val="00D95909"/>
    <w:rsid w:val="00D95FC0"/>
    <w:rsid w:val="00D96725"/>
    <w:rsid w:val="00D968EB"/>
    <w:rsid w:val="00D96D76"/>
    <w:rsid w:val="00D97214"/>
    <w:rsid w:val="00D97681"/>
    <w:rsid w:val="00D977BF"/>
    <w:rsid w:val="00DA0721"/>
    <w:rsid w:val="00DA1552"/>
    <w:rsid w:val="00DA1DED"/>
    <w:rsid w:val="00DA30FD"/>
    <w:rsid w:val="00DA3380"/>
    <w:rsid w:val="00DA3429"/>
    <w:rsid w:val="00DA347C"/>
    <w:rsid w:val="00DA3603"/>
    <w:rsid w:val="00DA398D"/>
    <w:rsid w:val="00DA3C09"/>
    <w:rsid w:val="00DA4173"/>
    <w:rsid w:val="00DA455C"/>
    <w:rsid w:val="00DA478D"/>
    <w:rsid w:val="00DA4799"/>
    <w:rsid w:val="00DA4BD2"/>
    <w:rsid w:val="00DA5A49"/>
    <w:rsid w:val="00DA61FB"/>
    <w:rsid w:val="00DA626F"/>
    <w:rsid w:val="00DA62EE"/>
    <w:rsid w:val="00DA62FC"/>
    <w:rsid w:val="00DA6588"/>
    <w:rsid w:val="00DA6CBB"/>
    <w:rsid w:val="00DA70B5"/>
    <w:rsid w:val="00DA7404"/>
    <w:rsid w:val="00DA76DC"/>
    <w:rsid w:val="00DA7749"/>
    <w:rsid w:val="00DA79F3"/>
    <w:rsid w:val="00DA7AD6"/>
    <w:rsid w:val="00DA7F82"/>
    <w:rsid w:val="00DB0935"/>
    <w:rsid w:val="00DB0EFB"/>
    <w:rsid w:val="00DB1014"/>
    <w:rsid w:val="00DB1086"/>
    <w:rsid w:val="00DB138C"/>
    <w:rsid w:val="00DB2520"/>
    <w:rsid w:val="00DB27E6"/>
    <w:rsid w:val="00DB2FAA"/>
    <w:rsid w:val="00DB38F7"/>
    <w:rsid w:val="00DB3987"/>
    <w:rsid w:val="00DB3EAE"/>
    <w:rsid w:val="00DB475A"/>
    <w:rsid w:val="00DB4C70"/>
    <w:rsid w:val="00DB4CBB"/>
    <w:rsid w:val="00DB55C1"/>
    <w:rsid w:val="00DB585B"/>
    <w:rsid w:val="00DB5F07"/>
    <w:rsid w:val="00DB61CE"/>
    <w:rsid w:val="00DB6AD7"/>
    <w:rsid w:val="00DB700D"/>
    <w:rsid w:val="00DB7239"/>
    <w:rsid w:val="00DB77D7"/>
    <w:rsid w:val="00DB7C28"/>
    <w:rsid w:val="00DB7C57"/>
    <w:rsid w:val="00DB7F5F"/>
    <w:rsid w:val="00DC006B"/>
    <w:rsid w:val="00DC0243"/>
    <w:rsid w:val="00DC029B"/>
    <w:rsid w:val="00DC09FD"/>
    <w:rsid w:val="00DC0CEE"/>
    <w:rsid w:val="00DC0E93"/>
    <w:rsid w:val="00DC0ED1"/>
    <w:rsid w:val="00DC1511"/>
    <w:rsid w:val="00DC18CB"/>
    <w:rsid w:val="00DC1B6D"/>
    <w:rsid w:val="00DC20C5"/>
    <w:rsid w:val="00DC2487"/>
    <w:rsid w:val="00DC2662"/>
    <w:rsid w:val="00DC2C78"/>
    <w:rsid w:val="00DC2ECA"/>
    <w:rsid w:val="00DC3000"/>
    <w:rsid w:val="00DC332B"/>
    <w:rsid w:val="00DC39E8"/>
    <w:rsid w:val="00DC3DA5"/>
    <w:rsid w:val="00DC46E4"/>
    <w:rsid w:val="00DC4880"/>
    <w:rsid w:val="00DC4BD4"/>
    <w:rsid w:val="00DC5590"/>
    <w:rsid w:val="00DC57B2"/>
    <w:rsid w:val="00DC5915"/>
    <w:rsid w:val="00DC59D7"/>
    <w:rsid w:val="00DC619C"/>
    <w:rsid w:val="00DC64B1"/>
    <w:rsid w:val="00DC6671"/>
    <w:rsid w:val="00DC68D9"/>
    <w:rsid w:val="00DC69FE"/>
    <w:rsid w:val="00DC7243"/>
    <w:rsid w:val="00DC7AC9"/>
    <w:rsid w:val="00DC7B58"/>
    <w:rsid w:val="00DD00C6"/>
    <w:rsid w:val="00DD01BC"/>
    <w:rsid w:val="00DD0467"/>
    <w:rsid w:val="00DD047C"/>
    <w:rsid w:val="00DD05C7"/>
    <w:rsid w:val="00DD0845"/>
    <w:rsid w:val="00DD0B61"/>
    <w:rsid w:val="00DD0C86"/>
    <w:rsid w:val="00DD126C"/>
    <w:rsid w:val="00DD1A7C"/>
    <w:rsid w:val="00DD1A96"/>
    <w:rsid w:val="00DD1CD8"/>
    <w:rsid w:val="00DD2400"/>
    <w:rsid w:val="00DD26D3"/>
    <w:rsid w:val="00DD2740"/>
    <w:rsid w:val="00DD2ADA"/>
    <w:rsid w:val="00DD2B77"/>
    <w:rsid w:val="00DD313A"/>
    <w:rsid w:val="00DD379F"/>
    <w:rsid w:val="00DD3C6D"/>
    <w:rsid w:val="00DD3E1C"/>
    <w:rsid w:val="00DD3E2D"/>
    <w:rsid w:val="00DD43DA"/>
    <w:rsid w:val="00DD46D3"/>
    <w:rsid w:val="00DD49E0"/>
    <w:rsid w:val="00DD4A86"/>
    <w:rsid w:val="00DD4EC2"/>
    <w:rsid w:val="00DD51BA"/>
    <w:rsid w:val="00DD64C5"/>
    <w:rsid w:val="00DD663E"/>
    <w:rsid w:val="00DD67BA"/>
    <w:rsid w:val="00DD6DD8"/>
    <w:rsid w:val="00DD7417"/>
    <w:rsid w:val="00DD7807"/>
    <w:rsid w:val="00DD7DF1"/>
    <w:rsid w:val="00DE0345"/>
    <w:rsid w:val="00DE0A3B"/>
    <w:rsid w:val="00DE0B08"/>
    <w:rsid w:val="00DE0BAA"/>
    <w:rsid w:val="00DE0DF7"/>
    <w:rsid w:val="00DE1420"/>
    <w:rsid w:val="00DE1732"/>
    <w:rsid w:val="00DE1A28"/>
    <w:rsid w:val="00DE1C1F"/>
    <w:rsid w:val="00DE1C27"/>
    <w:rsid w:val="00DE1C83"/>
    <w:rsid w:val="00DE1D77"/>
    <w:rsid w:val="00DE1EE8"/>
    <w:rsid w:val="00DE2194"/>
    <w:rsid w:val="00DE223B"/>
    <w:rsid w:val="00DE24F6"/>
    <w:rsid w:val="00DE2556"/>
    <w:rsid w:val="00DE2A7D"/>
    <w:rsid w:val="00DE30D0"/>
    <w:rsid w:val="00DE3925"/>
    <w:rsid w:val="00DE39EA"/>
    <w:rsid w:val="00DE3E84"/>
    <w:rsid w:val="00DE3F1B"/>
    <w:rsid w:val="00DE447E"/>
    <w:rsid w:val="00DE48D0"/>
    <w:rsid w:val="00DE4E23"/>
    <w:rsid w:val="00DE5380"/>
    <w:rsid w:val="00DE54F9"/>
    <w:rsid w:val="00DE5A0D"/>
    <w:rsid w:val="00DE5FEB"/>
    <w:rsid w:val="00DE6069"/>
    <w:rsid w:val="00DE66A7"/>
    <w:rsid w:val="00DE71A1"/>
    <w:rsid w:val="00DE72D4"/>
    <w:rsid w:val="00DE759A"/>
    <w:rsid w:val="00DE7730"/>
    <w:rsid w:val="00DE78B1"/>
    <w:rsid w:val="00DE7AE3"/>
    <w:rsid w:val="00DE7BB5"/>
    <w:rsid w:val="00DE7C9C"/>
    <w:rsid w:val="00DE7EB3"/>
    <w:rsid w:val="00DE7FAE"/>
    <w:rsid w:val="00DF0229"/>
    <w:rsid w:val="00DF02D1"/>
    <w:rsid w:val="00DF02D3"/>
    <w:rsid w:val="00DF031C"/>
    <w:rsid w:val="00DF0892"/>
    <w:rsid w:val="00DF09B3"/>
    <w:rsid w:val="00DF0F3E"/>
    <w:rsid w:val="00DF1679"/>
    <w:rsid w:val="00DF1C46"/>
    <w:rsid w:val="00DF2024"/>
    <w:rsid w:val="00DF254F"/>
    <w:rsid w:val="00DF28AD"/>
    <w:rsid w:val="00DF2FF0"/>
    <w:rsid w:val="00DF3227"/>
    <w:rsid w:val="00DF3582"/>
    <w:rsid w:val="00DF3E09"/>
    <w:rsid w:val="00DF3EA8"/>
    <w:rsid w:val="00DF3ECC"/>
    <w:rsid w:val="00DF4023"/>
    <w:rsid w:val="00DF40AB"/>
    <w:rsid w:val="00DF44E5"/>
    <w:rsid w:val="00DF45B9"/>
    <w:rsid w:val="00DF4758"/>
    <w:rsid w:val="00DF4E64"/>
    <w:rsid w:val="00DF4FA4"/>
    <w:rsid w:val="00DF50DE"/>
    <w:rsid w:val="00DF5365"/>
    <w:rsid w:val="00DF55CD"/>
    <w:rsid w:val="00DF5623"/>
    <w:rsid w:val="00DF5A9E"/>
    <w:rsid w:val="00DF5CD5"/>
    <w:rsid w:val="00DF5FC2"/>
    <w:rsid w:val="00DF60DA"/>
    <w:rsid w:val="00DF6901"/>
    <w:rsid w:val="00DF6A55"/>
    <w:rsid w:val="00DF6AD1"/>
    <w:rsid w:val="00DF6BEE"/>
    <w:rsid w:val="00DF7042"/>
    <w:rsid w:val="00DF74DE"/>
    <w:rsid w:val="00DF78E5"/>
    <w:rsid w:val="00DF7D3A"/>
    <w:rsid w:val="00DF7FA1"/>
    <w:rsid w:val="00E00A5E"/>
    <w:rsid w:val="00E00E47"/>
    <w:rsid w:val="00E01134"/>
    <w:rsid w:val="00E011EE"/>
    <w:rsid w:val="00E014D2"/>
    <w:rsid w:val="00E019A9"/>
    <w:rsid w:val="00E01DFC"/>
    <w:rsid w:val="00E01FE7"/>
    <w:rsid w:val="00E02454"/>
    <w:rsid w:val="00E026DE"/>
    <w:rsid w:val="00E02C5D"/>
    <w:rsid w:val="00E039AD"/>
    <w:rsid w:val="00E03D00"/>
    <w:rsid w:val="00E03DC3"/>
    <w:rsid w:val="00E04527"/>
    <w:rsid w:val="00E048FF"/>
    <w:rsid w:val="00E04F5B"/>
    <w:rsid w:val="00E051A0"/>
    <w:rsid w:val="00E05393"/>
    <w:rsid w:val="00E05B64"/>
    <w:rsid w:val="00E05BB2"/>
    <w:rsid w:val="00E0623E"/>
    <w:rsid w:val="00E06D5A"/>
    <w:rsid w:val="00E06FFB"/>
    <w:rsid w:val="00E07204"/>
    <w:rsid w:val="00E07226"/>
    <w:rsid w:val="00E07ACD"/>
    <w:rsid w:val="00E07F26"/>
    <w:rsid w:val="00E100B1"/>
    <w:rsid w:val="00E10BFC"/>
    <w:rsid w:val="00E10F9C"/>
    <w:rsid w:val="00E11382"/>
    <w:rsid w:val="00E11621"/>
    <w:rsid w:val="00E1193E"/>
    <w:rsid w:val="00E11976"/>
    <w:rsid w:val="00E11BD7"/>
    <w:rsid w:val="00E11C6B"/>
    <w:rsid w:val="00E11D4D"/>
    <w:rsid w:val="00E11F43"/>
    <w:rsid w:val="00E11FE6"/>
    <w:rsid w:val="00E1258C"/>
    <w:rsid w:val="00E12E44"/>
    <w:rsid w:val="00E12F87"/>
    <w:rsid w:val="00E12FE1"/>
    <w:rsid w:val="00E1327E"/>
    <w:rsid w:val="00E1420B"/>
    <w:rsid w:val="00E150E6"/>
    <w:rsid w:val="00E1524B"/>
    <w:rsid w:val="00E155C1"/>
    <w:rsid w:val="00E156D5"/>
    <w:rsid w:val="00E158F6"/>
    <w:rsid w:val="00E15BA2"/>
    <w:rsid w:val="00E15C16"/>
    <w:rsid w:val="00E15FDC"/>
    <w:rsid w:val="00E161E5"/>
    <w:rsid w:val="00E16468"/>
    <w:rsid w:val="00E1657F"/>
    <w:rsid w:val="00E16806"/>
    <w:rsid w:val="00E16BA6"/>
    <w:rsid w:val="00E171DF"/>
    <w:rsid w:val="00E1755C"/>
    <w:rsid w:val="00E17768"/>
    <w:rsid w:val="00E17A45"/>
    <w:rsid w:val="00E17B32"/>
    <w:rsid w:val="00E20067"/>
    <w:rsid w:val="00E2012C"/>
    <w:rsid w:val="00E20148"/>
    <w:rsid w:val="00E20857"/>
    <w:rsid w:val="00E209ED"/>
    <w:rsid w:val="00E20D62"/>
    <w:rsid w:val="00E20FA5"/>
    <w:rsid w:val="00E21433"/>
    <w:rsid w:val="00E21543"/>
    <w:rsid w:val="00E21717"/>
    <w:rsid w:val="00E2277D"/>
    <w:rsid w:val="00E22A38"/>
    <w:rsid w:val="00E22A3F"/>
    <w:rsid w:val="00E22F61"/>
    <w:rsid w:val="00E23044"/>
    <w:rsid w:val="00E233B0"/>
    <w:rsid w:val="00E23F24"/>
    <w:rsid w:val="00E2412B"/>
    <w:rsid w:val="00E242B8"/>
    <w:rsid w:val="00E2459B"/>
    <w:rsid w:val="00E25B11"/>
    <w:rsid w:val="00E25E95"/>
    <w:rsid w:val="00E25EB4"/>
    <w:rsid w:val="00E26001"/>
    <w:rsid w:val="00E264A6"/>
    <w:rsid w:val="00E2654E"/>
    <w:rsid w:val="00E265C6"/>
    <w:rsid w:val="00E269A9"/>
    <w:rsid w:val="00E26B33"/>
    <w:rsid w:val="00E26E0E"/>
    <w:rsid w:val="00E26FA4"/>
    <w:rsid w:val="00E27480"/>
    <w:rsid w:val="00E2789D"/>
    <w:rsid w:val="00E30141"/>
    <w:rsid w:val="00E3132C"/>
    <w:rsid w:val="00E314AC"/>
    <w:rsid w:val="00E31611"/>
    <w:rsid w:val="00E316C0"/>
    <w:rsid w:val="00E31A78"/>
    <w:rsid w:val="00E31C9C"/>
    <w:rsid w:val="00E31E5F"/>
    <w:rsid w:val="00E3204F"/>
    <w:rsid w:val="00E326F4"/>
    <w:rsid w:val="00E3289C"/>
    <w:rsid w:val="00E3308D"/>
    <w:rsid w:val="00E33153"/>
    <w:rsid w:val="00E339C1"/>
    <w:rsid w:val="00E34C76"/>
    <w:rsid w:val="00E35B70"/>
    <w:rsid w:val="00E35D7F"/>
    <w:rsid w:val="00E35DFE"/>
    <w:rsid w:val="00E37913"/>
    <w:rsid w:val="00E37A80"/>
    <w:rsid w:val="00E37AD7"/>
    <w:rsid w:val="00E37FE6"/>
    <w:rsid w:val="00E408F7"/>
    <w:rsid w:val="00E40CC5"/>
    <w:rsid w:val="00E40D23"/>
    <w:rsid w:val="00E40DB1"/>
    <w:rsid w:val="00E4127F"/>
    <w:rsid w:val="00E412E5"/>
    <w:rsid w:val="00E4156E"/>
    <w:rsid w:val="00E41604"/>
    <w:rsid w:val="00E41944"/>
    <w:rsid w:val="00E422D7"/>
    <w:rsid w:val="00E42E7E"/>
    <w:rsid w:val="00E42E87"/>
    <w:rsid w:val="00E4329E"/>
    <w:rsid w:val="00E433AA"/>
    <w:rsid w:val="00E4372B"/>
    <w:rsid w:val="00E43F79"/>
    <w:rsid w:val="00E44102"/>
    <w:rsid w:val="00E441D3"/>
    <w:rsid w:val="00E4449A"/>
    <w:rsid w:val="00E444C6"/>
    <w:rsid w:val="00E4466F"/>
    <w:rsid w:val="00E44935"/>
    <w:rsid w:val="00E455B5"/>
    <w:rsid w:val="00E45AE0"/>
    <w:rsid w:val="00E45D14"/>
    <w:rsid w:val="00E46D35"/>
    <w:rsid w:val="00E46EB5"/>
    <w:rsid w:val="00E46FDC"/>
    <w:rsid w:val="00E47914"/>
    <w:rsid w:val="00E47A7A"/>
    <w:rsid w:val="00E50774"/>
    <w:rsid w:val="00E50ACA"/>
    <w:rsid w:val="00E50DF7"/>
    <w:rsid w:val="00E5117A"/>
    <w:rsid w:val="00E51336"/>
    <w:rsid w:val="00E513C6"/>
    <w:rsid w:val="00E5158C"/>
    <w:rsid w:val="00E51B19"/>
    <w:rsid w:val="00E51E20"/>
    <w:rsid w:val="00E51FD0"/>
    <w:rsid w:val="00E52479"/>
    <w:rsid w:val="00E527F4"/>
    <w:rsid w:val="00E5297C"/>
    <w:rsid w:val="00E52AC2"/>
    <w:rsid w:val="00E52F52"/>
    <w:rsid w:val="00E53361"/>
    <w:rsid w:val="00E5483D"/>
    <w:rsid w:val="00E54A2E"/>
    <w:rsid w:val="00E54FF7"/>
    <w:rsid w:val="00E55CA0"/>
    <w:rsid w:val="00E55E14"/>
    <w:rsid w:val="00E562E7"/>
    <w:rsid w:val="00E56B23"/>
    <w:rsid w:val="00E56DEA"/>
    <w:rsid w:val="00E570AF"/>
    <w:rsid w:val="00E57A7B"/>
    <w:rsid w:val="00E60335"/>
    <w:rsid w:val="00E60476"/>
    <w:rsid w:val="00E60583"/>
    <w:rsid w:val="00E617E5"/>
    <w:rsid w:val="00E61A31"/>
    <w:rsid w:val="00E61C2E"/>
    <w:rsid w:val="00E61C38"/>
    <w:rsid w:val="00E61DEF"/>
    <w:rsid w:val="00E626FE"/>
    <w:rsid w:val="00E62A2C"/>
    <w:rsid w:val="00E62D59"/>
    <w:rsid w:val="00E632D2"/>
    <w:rsid w:val="00E637B5"/>
    <w:rsid w:val="00E6382A"/>
    <w:rsid w:val="00E638E1"/>
    <w:rsid w:val="00E63937"/>
    <w:rsid w:val="00E63BE6"/>
    <w:rsid w:val="00E63DC3"/>
    <w:rsid w:val="00E64359"/>
    <w:rsid w:val="00E643AA"/>
    <w:rsid w:val="00E64A18"/>
    <w:rsid w:val="00E64A1D"/>
    <w:rsid w:val="00E64D59"/>
    <w:rsid w:val="00E652EA"/>
    <w:rsid w:val="00E655E0"/>
    <w:rsid w:val="00E65864"/>
    <w:rsid w:val="00E65E01"/>
    <w:rsid w:val="00E65EAD"/>
    <w:rsid w:val="00E65ED4"/>
    <w:rsid w:val="00E668CE"/>
    <w:rsid w:val="00E67745"/>
    <w:rsid w:val="00E677DE"/>
    <w:rsid w:val="00E67846"/>
    <w:rsid w:val="00E67946"/>
    <w:rsid w:val="00E67A84"/>
    <w:rsid w:val="00E67B76"/>
    <w:rsid w:val="00E67D52"/>
    <w:rsid w:val="00E7046B"/>
    <w:rsid w:val="00E705A2"/>
    <w:rsid w:val="00E7092A"/>
    <w:rsid w:val="00E70B2F"/>
    <w:rsid w:val="00E70CC0"/>
    <w:rsid w:val="00E70FC2"/>
    <w:rsid w:val="00E711DA"/>
    <w:rsid w:val="00E712CF"/>
    <w:rsid w:val="00E717F3"/>
    <w:rsid w:val="00E719D4"/>
    <w:rsid w:val="00E71A31"/>
    <w:rsid w:val="00E71D0C"/>
    <w:rsid w:val="00E720ED"/>
    <w:rsid w:val="00E72258"/>
    <w:rsid w:val="00E722DE"/>
    <w:rsid w:val="00E72C9F"/>
    <w:rsid w:val="00E72D6F"/>
    <w:rsid w:val="00E72E4F"/>
    <w:rsid w:val="00E73137"/>
    <w:rsid w:val="00E73527"/>
    <w:rsid w:val="00E737DE"/>
    <w:rsid w:val="00E73817"/>
    <w:rsid w:val="00E739F5"/>
    <w:rsid w:val="00E74148"/>
    <w:rsid w:val="00E7453C"/>
    <w:rsid w:val="00E748A1"/>
    <w:rsid w:val="00E749A9"/>
    <w:rsid w:val="00E74B99"/>
    <w:rsid w:val="00E752E9"/>
    <w:rsid w:val="00E753E3"/>
    <w:rsid w:val="00E7570E"/>
    <w:rsid w:val="00E75C1F"/>
    <w:rsid w:val="00E75C7D"/>
    <w:rsid w:val="00E760AC"/>
    <w:rsid w:val="00E761E8"/>
    <w:rsid w:val="00E762FB"/>
    <w:rsid w:val="00E7662F"/>
    <w:rsid w:val="00E76839"/>
    <w:rsid w:val="00E76F9A"/>
    <w:rsid w:val="00E77399"/>
    <w:rsid w:val="00E7742E"/>
    <w:rsid w:val="00E77AA6"/>
    <w:rsid w:val="00E77C83"/>
    <w:rsid w:val="00E800DD"/>
    <w:rsid w:val="00E80372"/>
    <w:rsid w:val="00E80F96"/>
    <w:rsid w:val="00E8122C"/>
    <w:rsid w:val="00E8125A"/>
    <w:rsid w:val="00E81347"/>
    <w:rsid w:val="00E8148E"/>
    <w:rsid w:val="00E81AB8"/>
    <w:rsid w:val="00E8203D"/>
    <w:rsid w:val="00E8211B"/>
    <w:rsid w:val="00E82907"/>
    <w:rsid w:val="00E82A45"/>
    <w:rsid w:val="00E82B81"/>
    <w:rsid w:val="00E82BCC"/>
    <w:rsid w:val="00E82C0C"/>
    <w:rsid w:val="00E8337C"/>
    <w:rsid w:val="00E83AAE"/>
    <w:rsid w:val="00E84133"/>
    <w:rsid w:val="00E84291"/>
    <w:rsid w:val="00E845B9"/>
    <w:rsid w:val="00E847E3"/>
    <w:rsid w:val="00E84DE7"/>
    <w:rsid w:val="00E84F29"/>
    <w:rsid w:val="00E84F59"/>
    <w:rsid w:val="00E8511A"/>
    <w:rsid w:val="00E854FB"/>
    <w:rsid w:val="00E85669"/>
    <w:rsid w:val="00E85BF0"/>
    <w:rsid w:val="00E869CC"/>
    <w:rsid w:val="00E86A5C"/>
    <w:rsid w:val="00E86B97"/>
    <w:rsid w:val="00E86DD5"/>
    <w:rsid w:val="00E86F21"/>
    <w:rsid w:val="00E874B9"/>
    <w:rsid w:val="00E878BE"/>
    <w:rsid w:val="00E87A0F"/>
    <w:rsid w:val="00E87B64"/>
    <w:rsid w:val="00E87C6E"/>
    <w:rsid w:val="00E87E03"/>
    <w:rsid w:val="00E87EB2"/>
    <w:rsid w:val="00E87F85"/>
    <w:rsid w:val="00E90447"/>
    <w:rsid w:val="00E90454"/>
    <w:rsid w:val="00E91EE7"/>
    <w:rsid w:val="00E922DB"/>
    <w:rsid w:val="00E92C95"/>
    <w:rsid w:val="00E92FF7"/>
    <w:rsid w:val="00E93F84"/>
    <w:rsid w:val="00E94CE1"/>
    <w:rsid w:val="00E94ED5"/>
    <w:rsid w:val="00E953C2"/>
    <w:rsid w:val="00E954BF"/>
    <w:rsid w:val="00E9589C"/>
    <w:rsid w:val="00E95BE3"/>
    <w:rsid w:val="00E96347"/>
    <w:rsid w:val="00E968C1"/>
    <w:rsid w:val="00E96CC3"/>
    <w:rsid w:val="00E97C7B"/>
    <w:rsid w:val="00E97DAF"/>
    <w:rsid w:val="00EA0416"/>
    <w:rsid w:val="00EA1604"/>
    <w:rsid w:val="00EA264D"/>
    <w:rsid w:val="00EA29CD"/>
    <w:rsid w:val="00EA29E7"/>
    <w:rsid w:val="00EA2B89"/>
    <w:rsid w:val="00EA315D"/>
    <w:rsid w:val="00EA3712"/>
    <w:rsid w:val="00EA3776"/>
    <w:rsid w:val="00EA3BBF"/>
    <w:rsid w:val="00EA3D42"/>
    <w:rsid w:val="00EA441C"/>
    <w:rsid w:val="00EA4BC7"/>
    <w:rsid w:val="00EA4DDA"/>
    <w:rsid w:val="00EA4E75"/>
    <w:rsid w:val="00EA4EB5"/>
    <w:rsid w:val="00EA5731"/>
    <w:rsid w:val="00EA57AB"/>
    <w:rsid w:val="00EA5CF6"/>
    <w:rsid w:val="00EA5D0F"/>
    <w:rsid w:val="00EA5D95"/>
    <w:rsid w:val="00EA62EF"/>
    <w:rsid w:val="00EA6A24"/>
    <w:rsid w:val="00EA6A2D"/>
    <w:rsid w:val="00EA724B"/>
    <w:rsid w:val="00EA7A32"/>
    <w:rsid w:val="00EA7B5F"/>
    <w:rsid w:val="00EB0062"/>
    <w:rsid w:val="00EB0C38"/>
    <w:rsid w:val="00EB0FB4"/>
    <w:rsid w:val="00EB113C"/>
    <w:rsid w:val="00EB11E0"/>
    <w:rsid w:val="00EB14A6"/>
    <w:rsid w:val="00EB1603"/>
    <w:rsid w:val="00EB1957"/>
    <w:rsid w:val="00EB2444"/>
    <w:rsid w:val="00EB262B"/>
    <w:rsid w:val="00EB2F96"/>
    <w:rsid w:val="00EB30CA"/>
    <w:rsid w:val="00EB32F9"/>
    <w:rsid w:val="00EB3617"/>
    <w:rsid w:val="00EB3DBF"/>
    <w:rsid w:val="00EB3F77"/>
    <w:rsid w:val="00EB4280"/>
    <w:rsid w:val="00EB43C2"/>
    <w:rsid w:val="00EB46C7"/>
    <w:rsid w:val="00EB498F"/>
    <w:rsid w:val="00EB4D54"/>
    <w:rsid w:val="00EB582B"/>
    <w:rsid w:val="00EB5FCC"/>
    <w:rsid w:val="00EB61B5"/>
    <w:rsid w:val="00EB6340"/>
    <w:rsid w:val="00EB6423"/>
    <w:rsid w:val="00EB6EC4"/>
    <w:rsid w:val="00EB73C7"/>
    <w:rsid w:val="00EB757D"/>
    <w:rsid w:val="00EB75DC"/>
    <w:rsid w:val="00EB7782"/>
    <w:rsid w:val="00EB7AF3"/>
    <w:rsid w:val="00EC05BE"/>
    <w:rsid w:val="00EC0AA7"/>
    <w:rsid w:val="00EC0ACA"/>
    <w:rsid w:val="00EC0EA8"/>
    <w:rsid w:val="00EC1143"/>
    <w:rsid w:val="00EC1246"/>
    <w:rsid w:val="00EC167E"/>
    <w:rsid w:val="00EC2493"/>
    <w:rsid w:val="00EC2D21"/>
    <w:rsid w:val="00EC2E32"/>
    <w:rsid w:val="00EC31DE"/>
    <w:rsid w:val="00EC3B6B"/>
    <w:rsid w:val="00EC3D8E"/>
    <w:rsid w:val="00EC3FA7"/>
    <w:rsid w:val="00EC415E"/>
    <w:rsid w:val="00EC42CA"/>
    <w:rsid w:val="00EC457F"/>
    <w:rsid w:val="00EC45E6"/>
    <w:rsid w:val="00EC4787"/>
    <w:rsid w:val="00EC529F"/>
    <w:rsid w:val="00EC5436"/>
    <w:rsid w:val="00EC5DF3"/>
    <w:rsid w:val="00EC5E60"/>
    <w:rsid w:val="00EC61C4"/>
    <w:rsid w:val="00EC6219"/>
    <w:rsid w:val="00EC623C"/>
    <w:rsid w:val="00EC764C"/>
    <w:rsid w:val="00EC7655"/>
    <w:rsid w:val="00EC7839"/>
    <w:rsid w:val="00EC7C58"/>
    <w:rsid w:val="00EC7E5A"/>
    <w:rsid w:val="00EC7FA3"/>
    <w:rsid w:val="00ED0052"/>
    <w:rsid w:val="00ED0153"/>
    <w:rsid w:val="00ED06FC"/>
    <w:rsid w:val="00ED1025"/>
    <w:rsid w:val="00ED10E6"/>
    <w:rsid w:val="00ED11B0"/>
    <w:rsid w:val="00ED1239"/>
    <w:rsid w:val="00ED1342"/>
    <w:rsid w:val="00ED1427"/>
    <w:rsid w:val="00ED14A9"/>
    <w:rsid w:val="00ED16F2"/>
    <w:rsid w:val="00ED1897"/>
    <w:rsid w:val="00ED1912"/>
    <w:rsid w:val="00ED20E0"/>
    <w:rsid w:val="00ED23A7"/>
    <w:rsid w:val="00ED2C67"/>
    <w:rsid w:val="00ED2C89"/>
    <w:rsid w:val="00ED2E6A"/>
    <w:rsid w:val="00ED3218"/>
    <w:rsid w:val="00ED332D"/>
    <w:rsid w:val="00ED35D2"/>
    <w:rsid w:val="00ED3660"/>
    <w:rsid w:val="00ED38EA"/>
    <w:rsid w:val="00ED48D4"/>
    <w:rsid w:val="00ED4C40"/>
    <w:rsid w:val="00ED5173"/>
    <w:rsid w:val="00ED580E"/>
    <w:rsid w:val="00ED58E1"/>
    <w:rsid w:val="00ED5909"/>
    <w:rsid w:val="00ED600B"/>
    <w:rsid w:val="00ED63AB"/>
    <w:rsid w:val="00ED68D8"/>
    <w:rsid w:val="00ED69A3"/>
    <w:rsid w:val="00ED743F"/>
    <w:rsid w:val="00ED7462"/>
    <w:rsid w:val="00ED75D8"/>
    <w:rsid w:val="00ED7710"/>
    <w:rsid w:val="00ED7880"/>
    <w:rsid w:val="00ED7B7C"/>
    <w:rsid w:val="00ED7BF1"/>
    <w:rsid w:val="00ED7F9B"/>
    <w:rsid w:val="00EE0032"/>
    <w:rsid w:val="00EE0160"/>
    <w:rsid w:val="00EE0551"/>
    <w:rsid w:val="00EE05B2"/>
    <w:rsid w:val="00EE0612"/>
    <w:rsid w:val="00EE06BA"/>
    <w:rsid w:val="00EE075F"/>
    <w:rsid w:val="00EE098A"/>
    <w:rsid w:val="00EE0CE0"/>
    <w:rsid w:val="00EE1145"/>
    <w:rsid w:val="00EE12E5"/>
    <w:rsid w:val="00EE15AB"/>
    <w:rsid w:val="00EE1600"/>
    <w:rsid w:val="00EE1730"/>
    <w:rsid w:val="00EE1A8E"/>
    <w:rsid w:val="00EE1E34"/>
    <w:rsid w:val="00EE2042"/>
    <w:rsid w:val="00EE2043"/>
    <w:rsid w:val="00EE25C6"/>
    <w:rsid w:val="00EE2A93"/>
    <w:rsid w:val="00EE2DCB"/>
    <w:rsid w:val="00EE2FDD"/>
    <w:rsid w:val="00EE304B"/>
    <w:rsid w:val="00EE317D"/>
    <w:rsid w:val="00EE3E6A"/>
    <w:rsid w:val="00EE3FE1"/>
    <w:rsid w:val="00EE4363"/>
    <w:rsid w:val="00EE46F5"/>
    <w:rsid w:val="00EE4A1B"/>
    <w:rsid w:val="00EE4E83"/>
    <w:rsid w:val="00EE6533"/>
    <w:rsid w:val="00EE6724"/>
    <w:rsid w:val="00EE6AE1"/>
    <w:rsid w:val="00EE6F5D"/>
    <w:rsid w:val="00EE6F64"/>
    <w:rsid w:val="00EE6FC8"/>
    <w:rsid w:val="00EE7678"/>
    <w:rsid w:val="00EE77A6"/>
    <w:rsid w:val="00EE7D6B"/>
    <w:rsid w:val="00EE7E7E"/>
    <w:rsid w:val="00EF025B"/>
    <w:rsid w:val="00EF0543"/>
    <w:rsid w:val="00EF0800"/>
    <w:rsid w:val="00EF0BC6"/>
    <w:rsid w:val="00EF0D56"/>
    <w:rsid w:val="00EF0EC4"/>
    <w:rsid w:val="00EF149C"/>
    <w:rsid w:val="00EF1C2C"/>
    <w:rsid w:val="00EF1DC2"/>
    <w:rsid w:val="00EF1DF8"/>
    <w:rsid w:val="00EF294D"/>
    <w:rsid w:val="00EF2A69"/>
    <w:rsid w:val="00EF2F86"/>
    <w:rsid w:val="00EF3044"/>
    <w:rsid w:val="00EF306F"/>
    <w:rsid w:val="00EF3134"/>
    <w:rsid w:val="00EF3247"/>
    <w:rsid w:val="00EF35CE"/>
    <w:rsid w:val="00EF370C"/>
    <w:rsid w:val="00EF3846"/>
    <w:rsid w:val="00EF3C04"/>
    <w:rsid w:val="00EF422B"/>
    <w:rsid w:val="00EF458E"/>
    <w:rsid w:val="00EF4BD5"/>
    <w:rsid w:val="00EF527D"/>
    <w:rsid w:val="00EF54AC"/>
    <w:rsid w:val="00EF652B"/>
    <w:rsid w:val="00EF6BCB"/>
    <w:rsid w:val="00EF715C"/>
    <w:rsid w:val="00EF7386"/>
    <w:rsid w:val="00EF7A8E"/>
    <w:rsid w:val="00EF7CA8"/>
    <w:rsid w:val="00F006AB"/>
    <w:rsid w:val="00F00D9A"/>
    <w:rsid w:val="00F013A4"/>
    <w:rsid w:val="00F013D2"/>
    <w:rsid w:val="00F0201B"/>
    <w:rsid w:val="00F0242F"/>
    <w:rsid w:val="00F0266F"/>
    <w:rsid w:val="00F028D3"/>
    <w:rsid w:val="00F02FC9"/>
    <w:rsid w:val="00F0325B"/>
    <w:rsid w:val="00F0384A"/>
    <w:rsid w:val="00F03AF3"/>
    <w:rsid w:val="00F03EA1"/>
    <w:rsid w:val="00F0429B"/>
    <w:rsid w:val="00F044E9"/>
    <w:rsid w:val="00F04E98"/>
    <w:rsid w:val="00F04FE2"/>
    <w:rsid w:val="00F053B5"/>
    <w:rsid w:val="00F05801"/>
    <w:rsid w:val="00F05B2F"/>
    <w:rsid w:val="00F05D7A"/>
    <w:rsid w:val="00F05DCB"/>
    <w:rsid w:val="00F06031"/>
    <w:rsid w:val="00F063D5"/>
    <w:rsid w:val="00F066F5"/>
    <w:rsid w:val="00F06955"/>
    <w:rsid w:val="00F06F34"/>
    <w:rsid w:val="00F07286"/>
    <w:rsid w:val="00F07836"/>
    <w:rsid w:val="00F07AD7"/>
    <w:rsid w:val="00F07ECB"/>
    <w:rsid w:val="00F10346"/>
    <w:rsid w:val="00F10459"/>
    <w:rsid w:val="00F10655"/>
    <w:rsid w:val="00F108DD"/>
    <w:rsid w:val="00F10E28"/>
    <w:rsid w:val="00F10F56"/>
    <w:rsid w:val="00F110EF"/>
    <w:rsid w:val="00F11117"/>
    <w:rsid w:val="00F11467"/>
    <w:rsid w:val="00F11632"/>
    <w:rsid w:val="00F117EE"/>
    <w:rsid w:val="00F11892"/>
    <w:rsid w:val="00F11995"/>
    <w:rsid w:val="00F11A76"/>
    <w:rsid w:val="00F12074"/>
    <w:rsid w:val="00F121F5"/>
    <w:rsid w:val="00F12233"/>
    <w:rsid w:val="00F1230A"/>
    <w:rsid w:val="00F1243E"/>
    <w:rsid w:val="00F1247F"/>
    <w:rsid w:val="00F12A55"/>
    <w:rsid w:val="00F130BF"/>
    <w:rsid w:val="00F13975"/>
    <w:rsid w:val="00F13DFB"/>
    <w:rsid w:val="00F146F5"/>
    <w:rsid w:val="00F14A1E"/>
    <w:rsid w:val="00F15372"/>
    <w:rsid w:val="00F154BB"/>
    <w:rsid w:val="00F15521"/>
    <w:rsid w:val="00F155E3"/>
    <w:rsid w:val="00F15B9C"/>
    <w:rsid w:val="00F15FBA"/>
    <w:rsid w:val="00F16044"/>
    <w:rsid w:val="00F161A8"/>
    <w:rsid w:val="00F161C8"/>
    <w:rsid w:val="00F163E2"/>
    <w:rsid w:val="00F16472"/>
    <w:rsid w:val="00F166B7"/>
    <w:rsid w:val="00F168C3"/>
    <w:rsid w:val="00F17920"/>
    <w:rsid w:val="00F17AFB"/>
    <w:rsid w:val="00F200A1"/>
    <w:rsid w:val="00F203CB"/>
    <w:rsid w:val="00F20532"/>
    <w:rsid w:val="00F20744"/>
    <w:rsid w:val="00F209ED"/>
    <w:rsid w:val="00F21589"/>
    <w:rsid w:val="00F2188E"/>
    <w:rsid w:val="00F21CBB"/>
    <w:rsid w:val="00F221CC"/>
    <w:rsid w:val="00F22389"/>
    <w:rsid w:val="00F22610"/>
    <w:rsid w:val="00F22909"/>
    <w:rsid w:val="00F22A4D"/>
    <w:rsid w:val="00F22C98"/>
    <w:rsid w:val="00F22D19"/>
    <w:rsid w:val="00F233CA"/>
    <w:rsid w:val="00F235C9"/>
    <w:rsid w:val="00F23803"/>
    <w:rsid w:val="00F23841"/>
    <w:rsid w:val="00F23A06"/>
    <w:rsid w:val="00F23D08"/>
    <w:rsid w:val="00F24178"/>
    <w:rsid w:val="00F247B2"/>
    <w:rsid w:val="00F24893"/>
    <w:rsid w:val="00F257CA"/>
    <w:rsid w:val="00F257E0"/>
    <w:rsid w:val="00F25EDC"/>
    <w:rsid w:val="00F2621E"/>
    <w:rsid w:val="00F26622"/>
    <w:rsid w:val="00F26655"/>
    <w:rsid w:val="00F27316"/>
    <w:rsid w:val="00F276C7"/>
    <w:rsid w:val="00F278F9"/>
    <w:rsid w:val="00F27F8E"/>
    <w:rsid w:val="00F301D9"/>
    <w:rsid w:val="00F30399"/>
    <w:rsid w:val="00F30798"/>
    <w:rsid w:val="00F30973"/>
    <w:rsid w:val="00F30B05"/>
    <w:rsid w:val="00F30CAC"/>
    <w:rsid w:val="00F310CA"/>
    <w:rsid w:val="00F312C4"/>
    <w:rsid w:val="00F31428"/>
    <w:rsid w:val="00F31AA4"/>
    <w:rsid w:val="00F31CA2"/>
    <w:rsid w:val="00F32065"/>
    <w:rsid w:val="00F32416"/>
    <w:rsid w:val="00F32466"/>
    <w:rsid w:val="00F32AD0"/>
    <w:rsid w:val="00F32F29"/>
    <w:rsid w:val="00F32FE2"/>
    <w:rsid w:val="00F3306D"/>
    <w:rsid w:val="00F33109"/>
    <w:rsid w:val="00F339D0"/>
    <w:rsid w:val="00F33CF4"/>
    <w:rsid w:val="00F34477"/>
    <w:rsid w:val="00F34734"/>
    <w:rsid w:val="00F35553"/>
    <w:rsid w:val="00F35DB7"/>
    <w:rsid w:val="00F35F20"/>
    <w:rsid w:val="00F36313"/>
    <w:rsid w:val="00F36478"/>
    <w:rsid w:val="00F366CA"/>
    <w:rsid w:val="00F368E7"/>
    <w:rsid w:val="00F36A99"/>
    <w:rsid w:val="00F3707F"/>
    <w:rsid w:val="00F374DE"/>
    <w:rsid w:val="00F3786D"/>
    <w:rsid w:val="00F3790D"/>
    <w:rsid w:val="00F37983"/>
    <w:rsid w:val="00F37A34"/>
    <w:rsid w:val="00F37EA4"/>
    <w:rsid w:val="00F37FAA"/>
    <w:rsid w:val="00F40269"/>
    <w:rsid w:val="00F408AA"/>
    <w:rsid w:val="00F40B17"/>
    <w:rsid w:val="00F40C8B"/>
    <w:rsid w:val="00F41326"/>
    <w:rsid w:val="00F4142A"/>
    <w:rsid w:val="00F416F2"/>
    <w:rsid w:val="00F416F8"/>
    <w:rsid w:val="00F41714"/>
    <w:rsid w:val="00F41A4C"/>
    <w:rsid w:val="00F41A90"/>
    <w:rsid w:val="00F41F7B"/>
    <w:rsid w:val="00F42220"/>
    <w:rsid w:val="00F42407"/>
    <w:rsid w:val="00F42756"/>
    <w:rsid w:val="00F427A5"/>
    <w:rsid w:val="00F42A65"/>
    <w:rsid w:val="00F42C1A"/>
    <w:rsid w:val="00F42E21"/>
    <w:rsid w:val="00F43AAA"/>
    <w:rsid w:val="00F43DA4"/>
    <w:rsid w:val="00F444BA"/>
    <w:rsid w:val="00F453B8"/>
    <w:rsid w:val="00F45476"/>
    <w:rsid w:val="00F4569A"/>
    <w:rsid w:val="00F45C5B"/>
    <w:rsid w:val="00F45ECC"/>
    <w:rsid w:val="00F45F98"/>
    <w:rsid w:val="00F46060"/>
    <w:rsid w:val="00F46125"/>
    <w:rsid w:val="00F4663F"/>
    <w:rsid w:val="00F46B1B"/>
    <w:rsid w:val="00F46FFB"/>
    <w:rsid w:val="00F47171"/>
    <w:rsid w:val="00F4760D"/>
    <w:rsid w:val="00F47A5B"/>
    <w:rsid w:val="00F50054"/>
    <w:rsid w:val="00F503CD"/>
    <w:rsid w:val="00F504C2"/>
    <w:rsid w:val="00F50B18"/>
    <w:rsid w:val="00F50B5C"/>
    <w:rsid w:val="00F51818"/>
    <w:rsid w:val="00F51824"/>
    <w:rsid w:val="00F51CE3"/>
    <w:rsid w:val="00F52006"/>
    <w:rsid w:val="00F522CF"/>
    <w:rsid w:val="00F523C5"/>
    <w:rsid w:val="00F5285C"/>
    <w:rsid w:val="00F52866"/>
    <w:rsid w:val="00F52C97"/>
    <w:rsid w:val="00F52EA1"/>
    <w:rsid w:val="00F52ECF"/>
    <w:rsid w:val="00F52FDA"/>
    <w:rsid w:val="00F52FE4"/>
    <w:rsid w:val="00F532CF"/>
    <w:rsid w:val="00F53D64"/>
    <w:rsid w:val="00F545BC"/>
    <w:rsid w:val="00F54889"/>
    <w:rsid w:val="00F54965"/>
    <w:rsid w:val="00F54DE2"/>
    <w:rsid w:val="00F54EAD"/>
    <w:rsid w:val="00F54EB0"/>
    <w:rsid w:val="00F5514F"/>
    <w:rsid w:val="00F554FA"/>
    <w:rsid w:val="00F55A57"/>
    <w:rsid w:val="00F561E8"/>
    <w:rsid w:val="00F569AD"/>
    <w:rsid w:val="00F56C41"/>
    <w:rsid w:val="00F57570"/>
    <w:rsid w:val="00F57BDC"/>
    <w:rsid w:val="00F600DB"/>
    <w:rsid w:val="00F6067C"/>
    <w:rsid w:val="00F6091B"/>
    <w:rsid w:val="00F60A09"/>
    <w:rsid w:val="00F60A8D"/>
    <w:rsid w:val="00F60FDE"/>
    <w:rsid w:val="00F611BD"/>
    <w:rsid w:val="00F61228"/>
    <w:rsid w:val="00F615B8"/>
    <w:rsid w:val="00F615CE"/>
    <w:rsid w:val="00F6173B"/>
    <w:rsid w:val="00F61F31"/>
    <w:rsid w:val="00F6253F"/>
    <w:rsid w:val="00F6258B"/>
    <w:rsid w:val="00F62658"/>
    <w:rsid w:val="00F6278B"/>
    <w:rsid w:val="00F6352A"/>
    <w:rsid w:val="00F6394A"/>
    <w:rsid w:val="00F63DE0"/>
    <w:rsid w:val="00F64144"/>
    <w:rsid w:val="00F641A6"/>
    <w:rsid w:val="00F64357"/>
    <w:rsid w:val="00F64590"/>
    <w:rsid w:val="00F64627"/>
    <w:rsid w:val="00F64650"/>
    <w:rsid w:val="00F649C6"/>
    <w:rsid w:val="00F64A6C"/>
    <w:rsid w:val="00F654B0"/>
    <w:rsid w:val="00F657A0"/>
    <w:rsid w:val="00F65A30"/>
    <w:rsid w:val="00F65C93"/>
    <w:rsid w:val="00F65E9C"/>
    <w:rsid w:val="00F66047"/>
    <w:rsid w:val="00F6608A"/>
    <w:rsid w:val="00F661E7"/>
    <w:rsid w:val="00F674B9"/>
    <w:rsid w:val="00F6769A"/>
    <w:rsid w:val="00F67A9A"/>
    <w:rsid w:val="00F67E9B"/>
    <w:rsid w:val="00F70120"/>
    <w:rsid w:val="00F70137"/>
    <w:rsid w:val="00F70146"/>
    <w:rsid w:val="00F7019F"/>
    <w:rsid w:val="00F70352"/>
    <w:rsid w:val="00F704B9"/>
    <w:rsid w:val="00F706CC"/>
    <w:rsid w:val="00F7079C"/>
    <w:rsid w:val="00F70880"/>
    <w:rsid w:val="00F71701"/>
    <w:rsid w:val="00F71A45"/>
    <w:rsid w:val="00F71B4A"/>
    <w:rsid w:val="00F71BB3"/>
    <w:rsid w:val="00F71C11"/>
    <w:rsid w:val="00F71F1E"/>
    <w:rsid w:val="00F71F47"/>
    <w:rsid w:val="00F72302"/>
    <w:rsid w:val="00F723A9"/>
    <w:rsid w:val="00F724AE"/>
    <w:rsid w:val="00F7270F"/>
    <w:rsid w:val="00F727AE"/>
    <w:rsid w:val="00F72897"/>
    <w:rsid w:val="00F73A8F"/>
    <w:rsid w:val="00F73EDE"/>
    <w:rsid w:val="00F743A4"/>
    <w:rsid w:val="00F751CF"/>
    <w:rsid w:val="00F7551E"/>
    <w:rsid w:val="00F7566E"/>
    <w:rsid w:val="00F759BE"/>
    <w:rsid w:val="00F76073"/>
    <w:rsid w:val="00F7620D"/>
    <w:rsid w:val="00F76D5E"/>
    <w:rsid w:val="00F771B4"/>
    <w:rsid w:val="00F7746A"/>
    <w:rsid w:val="00F77FA0"/>
    <w:rsid w:val="00F800AD"/>
    <w:rsid w:val="00F80879"/>
    <w:rsid w:val="00F80A99"/>
    <w:rsid w:val="00F80FB9"/>
    <w:rsid w:val="00F81004"/>
    <w:rsid w:val="00F812A9"/>
    <w:rsid w:val="00F814B5"/>
    <w:rsid w:val="00F8162C"/>
    <w:rsid w:val="00F81F68"/>
    <w:rsid w:val="00F82C6D"/>
    <w:rsid w:val="00F82D53"/>
    <w:rsid w:val="00F82E34"/>
    <w:rsid w:val="00F833BC"/>
    <w:rsid w:val="00F835A4"/>
    <w:rsid w:val="00F8395D"/>
    <w:rsid w:val="00F83BD4"/>
    <w:rsid w:val="00F83CF4"/>
    <w:rsid w:val="00F83DA6"/>
    <w:rsid w:val="00F8410E"/>
    <w:rsid w:val="00F84A52"/>
    <w:rsid w:val="00F84AE8"/>
    <w:rsid w:val="00F858EC"/>
    <w:rsid w:val="00F863A8"/>
    <w:rsid w:val="00F863C9"/>
    <w:rsid w:val="00F86684"/>
    <w:rsid w:val="00F86A66"/>
    <w:rsid w:val="00F86A75"/>
    <w:rsid w:val="00F86AC9"/>
    <w:rsid w:val="00F86AE9"/>
    <w:rsid w:val="00F86B92"/>
    <w:rsid w:val="00F86F88"/>
    <w:rsid w:val="00F86F89"/>
    <w:rsid w:val="00F871E1"/>
    <w:rsid w:val="00F87424"/>
    <w:rsid w:val="00F877CE"/>
    <w:rsid w:val="00F87B8E"/>
    <w:rsid w:val="00F87FF7"/>
    <w:rsid w:val="00F9028D"/>
    <w:rsid w:val="00F902A7"/>
    <w:rsid w:val="00F902E7"/>
    <w:rsid w:val="00F902F0"/>
    <w:rsid w:val="00F90665"/>
    <w:rsid w:val="00F908AD"/>
    <w:rsid w:val="00F90C03"/>
    <w:rsid w:val="00F91825"/>
    <w:rsid w:val="00F91B68"/>
    <w:rsid w:val="00F91D17"/>
    <w:rsid w:val="00F926FD"/>
    <w:rsid w:val="00F92EA6"/>
    <w:rsid w:val="00F9342D"/>
    <w:rsid w:val="00F93710"/>
    <w:rsid w:val="00F937B3"/>
    <w:rsid w:val="00F937E6"/>
    <w:rsid w:val="00F93887"/>
    <w:rsid w:val="00F938CA"/>
    <w:rsid w:val="00F945F7"/>
    <w:rsid w:val="00F94895"/>
    <w:rsid w:val="00F94A58"/>
    <w:rsid w:val="00F951AF"/>
    <w:rsid w:val="00F954BF"/>
    <w:rsid w:val="00F956F1"/>
    <w:rsid w:val="00F95786"/>
    <w:rsid w:val="00F95806"/>
    <w:rsid w:val="00F95AF0"/>
    <w:rsid w:val="00F95D5C"/>
    <w:rsid w:val="00F95F78"/>
    <w:rsid w:val="00F9620E"/>
    <w:rsid w:val="00F96605"/>
    <w:rsid w:val="00F96AC5"/>
    <w:rsid w:val="00F96C67"/>
    <w:rsid w:val="00F96E13"/>
    <w:rsid w:val="00F972F4"/>
    <w:rsid w:val="00F9751A"/>
    <w:rsid w:val="00F976DC"/>
    <w:rsid w:val="00F977BF"/>
    <w:rsid w:val="00F97A45"/>
    <w:rsid w:val="00F97B8F"/>
    <w:rsid w:val="00F97BBD"/>
    <w:rsid w:val="00F97C6A"/>
    <w:rsid w:val="00FA0381"/>
    <w:rsid w:val="00FA04B8"/>
    <w:rsid w:val="00FA04D3"/>
    <w:rsid w:val="00FA064F"/>
    <w:rsid w:val="00FA084D"/>
    <w:rsid w:val="00FA0C1B"/>
    <w:rsid w:val="00FA10A4"/>
    <w:rsid w:val="00FA1545"/>
    <w:rsid w:val="00FA1598"/>
    <w:rsid w:val="00FA1964"/>
    <w:rsid w:val="00FA19F4"/>
    <w:rsid w:val="00FA1CE4"/>
    <w:rsid w:val="00FA1D2E"/>
    <w:rsid w:val="00FA22AC"/>
    <w:rsid w:val="00FA28F9"/>
    <w:rsid w:val="00FA2966"/>
    <w:rsid w:val="00FA2C68"/>
    <w:rsid w:val="00FA2D14"/>
    <w:rsid w:val="00FA2FC2"/>
    <w:rsid w:val="00FA3770"/>
    <w:rsid w:val="00FA39F8"/>
    <w:rsid w:val="00FA3A0F"/>
    <w:rsid w:val="00FA3CB0"/>
    <w:rsid w:val="00FA454F"/>
    <w:rsid w:val="00FA4AA0"/>
    <w:rsid w:val="00FA4F29"/>
    <w:rsid w:val="00FA4F34"/>
    <w:rsid w:val="00FA5103"/>
    <w:rsid w:val="00FA5400"/>
    <w:rsid w:val="00FA5445"/>
    <w:rsid w:val="00FA5BB3"/>
    <w:rsid w:val="00FA5BB5"/>
    <w:rsid w:val="00FA6035"/>
    <w:rsid w:val="00FA61BC"/>
    <w:rsid w:val="00FA6358"/>
    <w:rsid w:val="00FA6558"/>
    <w:rsid w:val="00FA672B"/>
    <w:rsid w:val="00FA6878"/>
    <w:rsid w:val="00FA6A85"/>
    <w:rsid w:val="00FA7304"/>
    <w:rsid w:val="00FA739D"/>
    <w:rsid w:val="00FA752B"/>
    <w:rsid w:val="00FB15D2"/>
    <w:rsid w:val="00FB161F"/>
    <w:rsid w:val="00FB1872"/>
    <w:rsid w:val="00FB1948"/>
    <w:rsid w:val="00FB20AF"/>
    <w:rsid w:val="00FB22AA"/>
    <w:rsid w:val="00FB2D95"/>
    <w:rsid w:val="00FB33E3"/>
    <w:rsid w:val="00FB3C53"/>
    <w:rsid w:val="00FB422A"/>
    <w:rsid w:val="00FB48E6"/>
    <w:rsid w:val="00FB4A0B"/>
    <w:rsid w:val="00FB4C82"/>
    <w:rsid w:val="00FB5206"/>
    <w:rsid w:val="00FB5455"/>
    <w:rsid w:val="00FB5580"/>
    <w:rsid w:val="00FB55D0"/>
    <w:rsid w:val="00FB5621"/>
    <w:rsid w:val="00FB5B73"/>
    <w:rsid w:val="00FB5CBB"/>
    <w:rsid w:val="00FB5EC1"/>
    <w:rsid w:val="00FB6887"/>
    <w:rsid w:val="00FB6A5C"/>
    <w:rsid w:val="00FB74F3"/>
    <w:rsid w:val="00FB750D"/>
    <w:rsid w:val="00FB753D"/>
    <w:rsid w:val="00FB7E87"/>
    <w:rsid w:val="00FC0365"/>
    <w:rsid w:val="00FC03D6"/>
    <w:rsid w:val="00FC0792"/>
    <w:rsid w:val="00FC0C6A"/>
    <w:rsid w:val="00FC1275"/>
    <w:rsid w:val="00FC1C13"/>
    <w:rsid w:val="00FC26BD"/>
    <w:rsid w:val="00FC2E05"/>
    <w:rsid w:val="00FC3057"/>
    <w:rsid w:val="00FC320B"/>
    <w:rsid w:val="00FC3485"/>
    <w:rsid w:val="00FC36F9"/>
    <w:rsid w:val="00FC4016"/>
    <w:rsid w:val="00FC4390"/>
    <w:rsid w:val="00FC46C2"/>
    <w:rsid w:val="00FC46F8"/>
    <w:rsid w:val="00FC4E78"/>
    <w:rsid w:val="00FC504F"/>
    <w:rsid w:val="00FC5CD2"/>
    <w:rsid w:val="00FC60C0"/>
    <w:rsid w:val="00FC64BC"/>
    <w:rsid w:val="00FC64DF"/>
    <w:rsid w:val="00FC66FC"/>
    <w:rsid w:val="00FC7549"/>
    <w:rsid w:val="00FC77C8"/>
    <w:rsid w:val="00FC7B87"/>
    <w:rsid w:val="00FC7E54"/>
    <w:rsid w:val="00FD018A"/>
    <w:rsid w:val="00FD0357"/>
    <w:rsid w:val="00FD048F"/>
    <w:rsid w:val="00FD09AA"/>
    <w:rsid w:val="00FD0ABF"/>
    <w:rsid w:val="00FD1575"/>
    <w:rsid w:val="00FD15E6"/>
    <w:rsid w:val="00FD169A"/>
    <w:rsid w:val="00FD1732"/>
    <w:rsid w:val="00FD1A1A"/>
    <w:rsid w:val="00FD1BF6"/>
    <w:rsid w:val="00FD236F"/>
    <w:rsid w:val="00FD294E"/>
    <w:rsid w:val="00FD2A10"/>
    <w:rsid w:val="00FD2AAE"/>
    <w:rsid w:val="00FD3E64"/>
    <w:rsid w:val="00FD4212"/>
    <w:rsid w:val="00FD435D"/>
    <w:rsid w:val="00FD5508"/>
    <w:rsid w:val="00FD5C0E"/>
    <w:rsid w:val="00FD6854"/>
    <w:rsid w:val="00FD6C45"/>
    <w:rsid w:val="00FD761B"/>
    <w:rsid w:val="00FD76C6"/>
    <w:rsid w:val="00FD7A6F"/>
    <w:rsid w:val="00FD7C48"/>
    <w:rsid w:val="00FE05C9"/>
    <w:rsid w:val="00FE0D03"/>
    <w:rsid w:val="00FE1827"/>
    <w:rsid w:val="00FE19FA"/>
    <w:rsid w:val="00FE1F90"/>
    <w:rsid w:val="00FE2183"/>
    <w:rsid w:val="00FE2338"/>
    <w:rsid w:val="00FE238E"/>
    <w:rsid w:val="00FE280F"/>
    <w:rsid w:val="00FE2AEC"/>
    <w:rsid w:val="00FE2C3C"/>
    <w:rsid w:val="00FE2D15"/>
    <w:rsid w:val="00FE2F14"/>
    <w:rsid w:val="00FE31DE"/>
    <w:rsid w:val="00FE32E8"/>
    <w:rsid w:val="00FE3553"/>
    <w:rsid w:val="00FE38B8"/>
    <w:rsid w:val="00FE3E77"/>
    <w:rsid w:val="00FE4666"/>
    <w:rsid w:val="00FE48A2"/>
    <w:rsid w:val="00FE5689"/>
    <w:rsid w:val="00FE5BD1"/>
    <w:rsid w:val="00FE5F65"/>
    <w:rsid w:val="00FE606A"/>
    <w:rsid w:val="00FE63B7"/>
    <w:rsid w:val="00FE6565"/>
    <w:rsid w:val="00FE6740"/>
    <w:rsid w:val="00FE6995"/>
    <w:rsid w:val="00FE6BD5"/>
    <w:rsid w:val="00FE6F6E"/>
    <w:rsid w:val="00FE741A"/>
    <w:rsid w:val="00FE76CA"/>
    <w:rsid w:val="00FE7789"/>
    <w:rsid w:val="00FF0090"/>
    <w:rsid w:val="00FF053E"/>
    <w:rsid w:val="00FF06FF"/>
    <w:rsid w:val="00FF0E0A"/>
    <w:rsid w:val="00FF0F2C"/>
    <w:rsid w:val="00FF1036"/>
    <w:rsid w:val="00FF13D3"/>
    <w:rsid w:val="00FF1918"/>
    <w:rsid w:val="00FF1CC0"/>
    <w:rsid w:val="00FF2898"/>
    <w:rsid w:val="00FF2CB2"/>
    <w:rsid w:val="00FF2D91"/>
    <w:rsid w:val="00FF34C7"/>
    <w:rsid w:val="00FF388F"/>
    <w:rsid w:val="00FF407B"/>
    <w:rsid w:val="00FF45E6"/>
    <w:rsid w:val="00FF514B"/>
    <w:rsid w:val="00FF54FC"/>
    <w:rsid w:val="00FF5AAF"/>
    <w:rsid w:val="00FF5ADE"/>
    <w:rsid w:val="00FF62CD"/>
    <w:rsid w:val="00FF63BD"/>
    <w:rsid w:val="00FF6A91"/>
    <w:rsid w:val="00FF6B81"/>
    <w:rsid w:val="00FF6DD6"/>
    <w:rsid w:val="00FF6E8B"/>
    <w:rsid w:val="00FF7162"/>
    <w:rsid w:val="00FF74BB"/>
    <w:rsid w:val="00FF7607"/>
    <w:rsid w:val="00FF7622"/>
    <w:rsid w:val="00FF7B00"/>
    <w:rsid w:val="0128E914"/>
    <w:rsid w:val="01309C60"/>
    <w:rsid w:val="015A49EB"/>
    <w:rsid w:val="019CA8F5"/>
    <w:rsid w:val="01B7F2CB"/>
    <w:rsid w:val="01B7F6E8"/>
    <w:rsid w:val="01C290E4"/>
    <w:rsid w:val="01DD0C41"/>
    <w:rsid w:val="01FA00CF"/>
    <w:rsid w:val="0228A6A3"/>
    <w:rsid w:val="02415FDB"/>
    <w:rsid w:val="025D68B6"/>
    <w:rsid w:val="025E4981"/>
    <w:rsid w:val="028EF253"/>
    <w:rsid w:val="028FB496"/>
    <w:rsid w:val="02A2A007"/>
    <w:rsid w:val="02AC5772"/>
    <w:rsid w:val="02AF4B17"/>
    <w:rsid w:val="02CD1226"/>
    <w:rsid w:val="02D65819"/>
    <w:rsid w:val="03196FF5"/>
    <w:rsid w:val="031A3403"/>
    <w:rsid w:val="032BE4FE"/>
    <w:rsid w:val="04214D39"/>
    <w:rsid w:val="043FB09C"/>
    <w:rsid w:val="0452B7F7"/>
    <w:rsid w:val="0466D6C9"/>
    <w:rsid w:val="04B74455"/>
    <w:rsid w:val="04DB3FB3"/>
    <w:rsid w:val="0523B56E"/>
    <w:rsid w:val="0526D2AE"/>
    <w:rsid w:val="05276AA1"/>
    <w:rsid w:val="0545A3B4"/>
    <w:rsid w:val="055A5CF4"/>
    <w:rsid w:val="05743DE3"/>
    <w:rsid w:val="0581BA14"/>
    <w:rsid w:val="058FD0A1"/>
    <w:rsid w:val="05AA5FFC"/>
    <w:rsid w:val="05CF10A5"/>
    <w:rsid w:val="063DA2C3"/>
    <w:rsid w:val="0661F851"/>
    <w:rsid w:val="0664369A"/>
    <w:rsid w:val="066A72FF"/>
    <w:rsid w:val="06E09BB9"/>
    <w:rsid w:val="06F1573C"/>
    <w:rsid w:val="06F798B3"/>
    <w:rsid w:val="07007D00"/>
    <w:rsid w:val="0701E74B"/>
    <w:rsid w:val="0733BE79"/>
    <w:rsid w:val="0753AE41"/>
    <w:rsid w:val="07A486DA"/>
    <w:rsid w:val="080BE55E"/>
    <w:rsid w:val="086F1C00"/>
    <w:rsid w:val="0871DA55"/>
    <w:rsid w:val="0881FDB9"/>
    <w:rsid w:val="08AE7BD7"/>
    <w:rsid w:val="08B6AB6B"/>
    <w:rsid w:val="095B04B8"/>
    <w:rsid w:val="096BA817"/>
    <w:rsid w:val="09857476"/>
    <w:rsid w:val="0991C684"/>
    <w:rsid w:val="0994AFCD"/>
    <w:rsid w:val="09E5DDBB"/>
    <w:rsid w:val="09EC928E"/>
    <w:rsid w:val="0A581774"/>
    <w:rsid w:val="0A5E9ADD"/>
    <w:rsid w:val="0A7CFCAA"/>
    <w:rsid w:val="0AC10010"/>
    <w:rsid w:val="0AC95849"/>
    <w:rsid w:val="0AD0D44D"/>
    <w:rsid w:val="0AD3CA72"/>
    <w:rsid w:val="0AE9F033"/>
    <w:rsid w:val="0B3C0D48"/>
    <w:rsid w:val="0B4B3F25"/>
    <w:rsid w:val="0B768B4C"/>
    <w:rsid w:val="0B7E854F"/>
    <w:rsid w:val="0BA5143D"/>
    <w:rsid w:val="0C1587CB"/>
    <w:rsid w:val="0C56601C"/>
    <w:rsid w:val="0C65C030"/>
    <w:rsid w:val="0C7F7A7F"/>
    <w:rsid w:val="0C8E1F9B"/>
    <w:rsid w:val="0CA48E59"/>
    <w:rsid w:val="0CC0BE9F"/>
    <w:rsid w:val="0CCD1419"/>
    <w:rsid w:val="0CD4CF4A"/>
    <w:rsid w:val="0D08EBAD"/>
    <w:rsid w:val="0D48B963"/>
    <w:rsid w:val="0D58F739"/>
    <w:rsid w:val="0D68CEFF"/>
    <w:rsid w:val="0DAD1367"/>
    <w:rsid w:val="0DB86B99"/>
    <w:rsid w:val="0DC275B7"/>
    <w:rsid w:val="0DFA224B"/>
    <w:rsid w:val="0E0566FC"/>
    <w:rsid w:val="0E0ECAFF"/>
    <w:rsid w:val="0E209140"/>
    <w:rsid w:val="0EB18A87"/>
    <w:rsid w:val="0EE8866C"/>
    <w:rsid w:val="0F00E641"/>
    <w:rsid w:val="0F107BF5"/>
    <w:rsid w:val="0F5A5B28"/>
    <w:rsid w:val="0F62A254"/>
    <w:rsid w:val="0F8E3A6D"/>
    <w:rsid w:val="0FB95B6C"/>
    <w:rsid w:val="0FF0A9BB"/>
    <w:rsid w:val="0FFD6603"/>
    <w:rsid w:val="100395A7"/>
    <w:rsid w:val="100AC4F8"/>
    <w:rsid w:val="1026C54E"/>
    <w:rsid w:val="1058C700"/>
    <w:rsid w:val="10AFB4FA"/>
    <w:rsid w:val="10B5D479"/>
    <w:rsid w:val="10D1145A"/>
    <w:rsid w:val="10E7BA2E"/>
    <w:rsid w:val="11006555"/>
    <w:rsid w:val="11AF53E2"/>
    <w:rsid w:val="11C2E0AA"/>
    <w:rsid w:val="11C6A411"/>
    <w:rsid w:val="11F8FACD"/>
    <w:rsid w:val="12BF21EA"/>
    <w:rsid w:val="12E438C2"/>
    <w:rsid w:val="12F2A366"/>
    <w:rsid w:val="12F2B5B5"/>
    <w:rsid w:val="131E7A86"/>
    <w:rsid w:val="1328C212"/>
    <w:rsid w:val="1339A26F"/>
    <w:rsid w:val="1351528B"/>
    <w:rsid w:val="135F4377"/>
    <w:rsid w:val="136F28DE"/>
    <w:rsid w:val="13A2DB3D"/>
    <w:rsid w:val="13C24696"/>
    <w:rsid w:val="14129A91"/>
    <w:rsid w:val="1421D292"/>
    <w:rsid w:val="144A4820"/>
    <w:rsid w:val="1489031F"/>
    <w:rsid w:val="148B2747"/>
    <w:rsid w:val="149193FC"/>
    <w:rsid w:val="14C6EBA3"/>
    <w:rsid w:val="14E35233"/>
    <w:rsid w:val="152CE6C7"/>
    <w:rsid w:val="153942AE"/>
    <w:rsid w:val="159DEA63"/>
    <w:rsid w:val="15B21323"/>
    <w:rsid w:val="15EC090D"/>
    <w:rsid w:val="16141EDA"/>
    <w:rsid w:val="163B9341"/>
    <w:rsid w:val="16770C23"/>
    <w:rsid w:val="167E71CA"/>
    <w:rsid w:val="16957044"/>
    <w:rsid w:val="16A940C0"/>
    <w:rsid w:val="16F86D53"/>
    <w:rsid w:val="172A672C"/>
    <w:rsid w:val="174F4C8B"/>
    <w:rsid w:val="17569BB0"/>
    <w:rsid w:val="176A8414"/>
    <w:rsid w:val="177555C8"/>
    <w:rsid w:val="18121F38"/>
    <w:rsid w:val="18199494"/>
    <w:rsid w:val="18AE4703"/>
    <w:rsid w:val="18FD3BD3"/>
    <w:rsid w:val="19144810"/>
    <w:rsid w:val="1956EED3"/>
    <w:rsid w:val="196A90D3"/>
    <w:rsid w:val="19924715"/>
    <w:rsid w:val="19B9FAEA"/>
    <w:rsid w:val="19DF53B5"/>
    <w:rsid w:val="19E502D6"/>
    <w:rsid w:val="19EA45F0"/>
    <w:rsid w:val="19EAEFBC"/>
    <w:rsid w:val="1A0E3EDA"/>
    <w:rsid w:val="1A1DB0C4"/>
    <w:rsid w:val="1A22AD79"/>
    <w:rsid w:val="1A336D2A"/>
    <w:rsid w:val="1A4DECD5"/>
    <w:rsid w:val="1A789615"/>
    <w:rsid w:val="1AB01294"/>
    <w:rsid w:val="1B0BA956"/>
    <w:rsid w:val="1B6F5E28"/>
    <w:rsid w:val="1B7DCBE9"/>
    <w:rsid w:val="1C3B739F"/>
    <w:rsid w:val="1C4057D9"/>
    <w:rsid w:val="1CB14250"/>
    <w:rsid w:val="1CE6163A"/>
    <w:rsid w:val="1D1F13D3"/>
    <w:rsid w:val="1D449720"/>
    <w:rsid w:val="1D611FD1"/>
    <w:rsid w:val="1D740A0B"/>
    <w:rsid w:val="1DE25E4A"/>
    <w:rsid w:val="1E13DDD3"/>
    <w:rsid w:val="1E2BDF7A"/>
    <w:rsid w:val="1E2E4055"/>
    <w:rsid w:val="1EDDA859"/>
    <w:rsid w:val="1F0F402F"/>
    <w:rsid w:val="1F4BB26E"/>
    <w:rsid w:val="1F64E9DD"/>
    <w:rsid w:val="1F88A9CF"/>
    <w:rsid w:val="1FCDCFCC"/>
    <w:rsid w:val="20049401"/>
    <w:rsid w:val="20359A9B"/>
    <w:rsid w:val="2039DCFC"/>
    <w:rsid w:val="2043F2D8"/>
    <w:rsid w:val="2069BCA4"/>
    <w:rsid w:val="20711547"/>
    <w:rsid w:val="2071F4FB"/>
    <w:rsid w:val="20A1C70C"/>
    <w:rsid w:val="20A7BB59"/>
    <w:rsid w:val="20B2C35C"/>
    <w:rsid w:val="20DEDCDB"/>
    <w:rsid w:val="20FDA384"/>
    <w:rsid w:val="210CD96F"/>
    <w:rsid w:val="213EE5D5"/>
    <w:rsid w:val="21595F17"/>
    <w:rsid w:val="2176D1FF"/>
    <w:rsid w:val="21A62E1B"/>
    <w:rsid w:val="21D1DB20"/>
    <w:rsid w:val="220EF72D"/>
    <w:rsid w:val="2211D65A"/>
    <w:rsid w:val="224970E0"/>
    <w:rsid w:val="224E2868"/>
    <w:rsid w:val="22870304"/>
    <w:rsid w:val="22B2F03C"/>
    <w:rsid w:val="22DBFB93"/>
    <w:rsid w:val="233114FF"/>
    <w:rsid w:val="23972FED"/>
    <w:rsid w:val="23C2B72E"/>
    <w:rsid w:val="23C57E1C"/>
    <w:rsid w:val="23CDE3AD"/>
    <w:rsid w:val="23D7C1D6"/>
    <w:rsid w:val="240B927E"/>
    <w:rsid w:val="24154435"/>
    <w:rsid w:val="242792E2"/>
    <w:rsid w:val="2442FBA7"/>
    <w:rsid w:val="246BB2B9"/>
    <w:rsid w:val="24CE9FA6"/>
    <w:rsid w:val="252F9EA4"/>
    <w:rsid w:val="256C736C"/>
    <w:rsid w:val="256F7739"/>
    <w:rsid w:val="2581D084"/>
    <w:rsid w:val="258AC495"/>
    <w:rsid w:val="25CC660A"/>
    <w:rsid w:val="260D9638"/>
    <w:rsid w:val="261A624C"/>
    <w:rsid w:val="26486231"/>
    <w:rsid w:val="267D5731"/>
    <w:rsid w:val="269912F0"/>
    <w:rsid w:val="26AFF0B7"/>
    <w:rsid w:val="26D3AC43"/>
    <w:rsid w:val="26DDD6C5"/>
    <w:rsid w:val="26E91C06"/>
    <w:rsid w:val="2755AF85"/>
    <w:rsid w:val="2784604F"/>
    <w:rsid w:val="27B1F412"/>
    <w:rsid w:val="27C16D77"/>
    <w:rsid w:val="27D27BC7"/>
    <w:rsid w:val="27D4246E"/>
    <w:rsid w:val="27DB4A93"/>
    <w:rsid w:val="27F5879B"/>
    <w:rsid w:val="2803E01E"/>
    <w:rsid w:val="280F16A9"/>
    <w:rsid w:val="2830196C"/>
    <w:rsid w:val="2874807D"/>
    <w:rsid w:val="287D317A"/>
    <w:rsid w:val="288DC44D"/>
    <w:rsid w:val="2892B326"/>
    <w:rsid w:val="28BADEF0"/>
    <w:rsid w:val="28E35A6F"/>
    <w:rsid w:val="28F594F0"/>
    <w:rsid w:val="29113006"/>
    <w:rsid w:val="29158240"/>
    <w:rsid w:val="292DAE8E"/>
    <w:rsid w:val="2949DA30"/>
    <w:rsid w:val="29C326A0"/>
    <w:rsid w:val="29EE171C"/>
    <w:rsid w:val="2A132F29"/>
    <w:rsid w:val="2A1559F1"/>
    <w:rsid w:val="2A374929"/>
    <w:rsid w:val="2A61C4CD"/>
    <w:rsid w:val="2A691F36"/>
    <w:rsid w:val="2A8E2946"/>
    <w:rsid w:val="2A9576C6"/>
    <w:rsid w:val="2ADB97D9"/>
    <w:rsid w:val="2AF5804B"/>
    <w:rsid w:val="2B006996"/>
    <w:rsid w:val="2B3CBC6F"/>
    <w:rsid w:val="2B740E9D"/>
    <w:rsid w:val="2BDD8947"/>
    <w:rsid w:val="2C079068"/>
    <w:rsid w:val="2C18796E"/>
    <w:rsid w:val="2C5574EC"/>
    <w:rsid w:val="2C5994F6"/>
    <w:rsid w:val="2CF08CD7"/>
    <w:rsid w:val="2D490B70"/>
    <w:rsid w:val="2D55233E"/>
    <w:rsid w:val="2D7CBC1F"/>
    <w:rsid w:val="2D9BEA39"/>
    <w:rsid w:val="2E579CA5"/>
    <w:rsid w:val="2E836FA1"/>
    <w:rsid w:val="2EA2ACA6"/>
    <w:rsid w:val="2EBBACFE"/>
    <w:rsid w:val="2F21F361"/>
    <w:rsid w:val="2F3092A8"/>
    <w:rsid w:val="2F5776F1"/>
    <w:rsid w:val="2F5DF430"/>
    <w:rsid w:val="2F81712A"/>
    <w:rsid w:val="2FA8EF77"/>
    <w:rsid w:val="2FDE0751"/>
    <w:rsid w:val="2FF43F5A"/>
    <w:rsid w:val="300EAE04"/>
    <w:rsid w:val="3034AC67"/>
    <w:rsid w:val="307427B1"/>
    <w:rsid w:val="30D790C4"/>
    <w:rsid w:val="3100123C"/>
    <w:rsid w:val="31155BCD"/>
    <w:rsid w:val="311BCF67"/>
    <w:rsid w:val="31345745"/>
    <w:rsid w:val="3136B4D8"/>
    <w:rsid w:val="31459825"/>
    <w:rsid w:val="31791673"/>
    <w:rsid w:val="31A220C5"/>
    <w:rsid w:val="31E20B33"/>
    <w:rsid w:val="3227DE71"/>
    <w:rsid w:val="324BDF1B"/>
    <w:rsid w:val="3298F1C3"/>
    <w:rsid w:val="33384341"/>
    <w:rsid w:val="3342FA3A"/>
    <w:rsid w:val="337EB20F"/>
    <w:rsid w:val="339B6757"/>
    <w:rsid w:val="33EF3165"/>
    <w:rsid w:val="33F14C94"/>
    <w:rsid w:val="33F65377"/>
    <w:rsid w:val="34033ADD"/>
    <w:rsid w:val="34083D43"/>
    <w:rsid w:val="346982C2"/>
    <w:rsid w:val="34DA28D8"/>
    <w:rsid w:val="35635556"/>
    <w:rsid w:val="35780459"/>
    <w:rsid w:val="357A3655"/>
    <w:rsid w:val="3584E160"/>
    <w:rsid w:val="35FB6DF9"/>
    <w:rsid w:val="36692E63"/>
    <w:rsid w:val="3689294D"/>
    <w:rsid w:val="36C55940"/>
    <w:rsid w:val="372B3364"/>
    <w:rsid w:val="372B968F"/>
    <w:rsid w:val="375D084B"/>
    <w:rsid w:val="376ACD1E"/>
    <w:rsid w:val="377415D4"/>
    <w:rsid w:val="378B0040"/>
    <w:rsid w:val="37D9EF81"/>
    <w:rsid w:val="37E2E295"/>
    <w:rsid w:val="3803C972"/>
    <w:rsid w:val="38098823"/>
    <w:rsid w:val="381AA8D4"/>
    <w:rsid w:val="381F44A0"/>
    <w:rsid w:val="385DF227"/>
    <w:rsid w:val="388AF61B"/>
    <w:rsid w:val="388E4A33"/>
    <w:rsid w:val="388F2F93"/>
    <w:rsid w:val="38AF17A0"/>
    <w:rsid w:val="38FA27D5"/>
    <w:rsid w:val="39012404"/>
    <w:rsid w:val="390CF256"/>
    <w:rsid w:val="39136178"/>
    <w:rsid w:val="393D44EF"/>
    <w:rsid w:val="395A5178"/>
    <w:rsid w:val="39699E71"/>
    <w:rsid w:val="397D0503"/>
    <w:rsid w:val="3A0A0321"/>
    <w:rsid w:val="3A437AA1"/>
    <w:rsid w:val="3A7DCD23"/>
    <w:rsid w:val="3AAF4416"/>
    <w:rsid w:val="3AB38D9B"/>
    <w:rsid w:val="3B704396"/>
    <w:rsid w:val="3B736841"/>
    <w:rsid w:val="3B9B8046"/>
    <w:rsid w:val="3BD0024B"/>
    <w:rsid w:val="3BE2EAEB"/>
    <w:rsid w:val="3BE4AF90"/>
    <w:rsid w:val="3C0A7B2A"/>
    <w:rsid w:val="3C218744"/>
    <w:rsid w:val="3C396369"/>
    <w:rsid w:val="3C3B3775"/>
    <w:rsid w:val="3C5B5717"/>
    <w:rsid w:val="3C5DD537"/>
    <w:rsid w:val="3C603469"/>
    <w:rsid w:val="3C855118"/>
    <w:rsid w:val="3CAA4856"/>
    <w:rsid w:val="3CB45F65"/>
    <w:rsid w:val="3CC045B3"/>
    <w:rsid w:val="3D449FC2"/>
    <w:rsid w:val="3D60E1AA"/>
    <w:rsid w:val="3D6B5EB3"/>
    <w:rsid w:val="3DB2851A"/>
    <w:rsid w:val="3DC587A3"/>
    <w:rsid w:val="3E15B745"/>
    <w:rsid w:val="3E5E1F78"/>
    <w:rsid w:val="3E66F276"/>
    <w:rsid w:val="3E7CCED3"/>
    <w:rsid w:val="3EA32E8B"/>
    <w:rsid w:val="3EB8104D"/>
    <w:rsid w:val="3EC3B900"/>
    <w:rsid w:val="3ED84DD3"/>
    <w:rsid w:val="3EE199CF"/>
    <w:rsid w:val="3FC6E478"/>
    <w:rsid w:val="4029CBDE"/>
    <w:rsid w:val="403666C6"/>
    <w:rsid w:val="40692DBD"/>
    <w:rsid w:val="406E8AA8"/>
    <w:rsid w:val="40844DAD"/>
    <w:rsid w:val="40C7FF94"/>
    <w:rsid w:val="40CFC826"/>
    <w:rsid w:val="415990AF"/>
    <w:rsid w:val="41810529"/>
    <w:rsid w:val="41AE081C"/>
    <w:rsid w:val="4211F117"/>
    <w:rsid w:val="421CA029"/>
    <w:rsid w:val="422D2D5D"/>
    <w:rsid w:val="42313980"/>
    <w:rsid w:val="42423585"/>
    <w:rsid w:val="42479BE4"/>
    <w:rsid w:val="4250BF61"/>
    <w:rsid w:val="426447D9"/>
    <w:rsid w:val="42902831"/>
    <w:rsid w:val="4298D12D"/>
    <w:rsid w:val="42B9419A"/>
    <w:rsid w:val="42EDA130"/>
    <w:rsid w:val="42F201C2"/>
    <w:rsid w:val="43003C94"/>
    <w:rsid w:val="431FBC37"/>
    <w:rsid w:val="4322B1BE"/>
    <w:rsid w:val="434A401C"/>
    <w:rsid w:val="43786CA3"/>
    <w:rsid w:val="4387EA81"/>
    <w:rsid w:val="439872C4"/>
    <w:rsid w:val="43ECD92E"/>
    <w:rsid w:val="442ACAF4"/>
    <w:rsid w:val="444C9505"/>
    <w:rsid w:val="4472B3B5"/>
    <w:rsid w:val="4498B0D6"/>
    <w:rsid w:val="44B88AE1"/>
    <w:rsid w:val="44BE4D2B"/>
    <w:rsid w:val="44D10BD1"/>
    <w:rsid w:val="45872971"/>
    <w:rsid w:val="45A8AC30"/>
    <w:rsid w:val="46008074"/>
    <w:rsid w:val="4654F415"/>
    <w:rsid w:val="46833C47"/>
    <w:rsid w:val="46B8C0D9"/>
    <w:rsid w:val="46EDE78C"/>
    <w:rsid w:val="46FE8B35"/>
    <w:rsid w:val="470D03AB"/>
    <w:rsid w:val="4740CCFE"/>
    <w:rsid w:val="478A6DFA"/>
    <w:rsid w:val="47F93B10"/>
    <w:rsid w:val="483AE281"/>
    <w:rsid w:val="483D13E1"/>
    <w:rsid w:val="4859BE57"/>
    <w:rsid w:val="486AC2C7"/>
    <w:rsid w:val="48739B59"/>
    <w:rsid w:val="48859563"/>
    <w:rsid w:val="48A6BF41"/>
    <w:rsid w:val="48FCD143"/>
    <w:rsid w:val="49145361"/>
    <w:rsid w:val="492A8F7B"/>
    <w:rsid w:val="494993A7"/>
    <w:rsid w:val="49840E01"/>
    <w:rsid w:val="499226FE"/>
    <w:rsid w:val="4A0DC1B5"/>
    <w:rsid w:val="4A7B3795"/>
    <w:rsid w:val="4A9ACE1F"/>
    <w:rsid w:val="4AB43ECB"/>
    <w:rsid w:val="4AEAAFE1"/>
    <w:rsid w:val="4B387D96"/>
    <w:rsid w:val="4B719D41"/>
    <w:rsid w:val="4B867E6C"/>
    <w:rsid w:val="4BB542D6"/>
    <w:rsid w:val="4BBF7E83"/>
    <w:rsid w:val="4BE4A32B"/>
    <w:rsid w:val="4BEB44E3"/>
    <w:rsid w:val="4C072CAF"/>
    <w:rsid w:val="4C2FCDC1"/>
    <w:rsid w:val="4C34F508"/>
    <w:rsid w:val="4C3FA5F7"/>
    <w:rsid w:val="4C53331B"/>
    <w:rsid w:val="4C551005"/>
    <w:rsid w:val="4C6876A6"/>
    <w:rsid w:val="4C8724E3"/>
    <w:rsid w:val="4CF14EC6"/>
    <w:rsid w:val="4CFA47B9"/>
    <w:rsid w:val="4D0EDE3C"/>
    <w:rsid w:val="4D10E6E5"/>
    <w:rsid w:val="4D437BFC"/>
    <w:rsid w:val="4DA83A3B"/>
    <w:rsid w:val="4DDA26E8"/>
    <w:rsid w:val="4E1BF663"/>
    <w:rsid w:val="4E3687A8"/>
    <w:rsid w:val="4E44D9E1"/>
    <w:rsid w:val="4E727083"/>
    <w:rsid w:val="4E869D4F"/>
    <w:rsid w:val="4EAA9E7B"/>
    <w:rsid w:val="4ED95E61"/>
    <w:rsid w:val="4EE99D30"/>
    <w:rsid w:val="4EEE1F50"/>
    <w:rsid w:val="4EF50AB8"/>
    <w:rsid w:val="4EF51E4E"/>
    <w:rsid w:val="4F0069C1"/>
    <w:rsid w:val="4FB45237"/>
    <w:rsid w:val="4FC853C1"/>
    <w:rsid w:val="4FDC3D68"/>
    <w:rsid w:val="5001346C"/>
    <w:rsid w:val="500B383D"/>
    <w:rsid w:val="502141CA"/>
    <w:rsid w:val="5023DE25"/>
    <w:rsid w:val="507CD9D4"/>
    <w:rsid w:val="50835FBD"/>
    <w:rsid w:val="50C7C25B"/>
    <w:rsid w:val="513D3413"/>
    <w:rsid w:val="5150911D"/>
    <w:rsid w:val="51668DF5"/>
    <w:rsid w:val="519D51D3"/>
    <w:rsid w:val="519F9DB0"/>
    <w:rsid w:val="51A0CD7D"/>
    <w:rsid w:val="51FD7CF6"/>
    <w:rsid w:val="5207BB57"/>
    <w:rsid w:val="521E21F4"/>
    <w:rsid w:val="522350EC"/>
    <w:rsid w:val="5244ED11"/>
    <w:rsid w:val="524E4E5D"/>
    <w:rsid w:val="526F13E9"/>
    <w:rsid w:val="529FAC1A"/>
    <w:rsid w:val="52AEBA2F"/>
    <w:rsid w:val="52D7E2DD"/>
    <w:rsid w:val="52E2D933"/>
    <w:rsid w:val="52E93904"/>
    <w:rsid w:val="541244D6"/>
    <w:rsid w:val="54181337"/>
    <w:rsid w:val="542368A4"/>
    <w:rsid w:val="5449EFA8"/>
    <w:rsid w:val="544ECF3F"/>
    <w:rsid w:val="54505209"/>
    <w:rsid w:val="545A2211"/>
    <w:rsid w:val="545E8206"/>
    <w:rsid w:val="54998BD7"/>
    <w:rsid w:val="54E50242"/>
    <w:rsid w:val="550F0C1F"/>
    <w:rsid w:val="552ED3D3"/>
    <w:rsid w:val="55D182D2"/>
    <w:rsid w:val="55F4ED40"/>
    <w:rsid w:val="5601F026"/>
    <w:rsid w:val="568F3A31"/>
    <w:rsid w:val="570F258D"/>
    <w:rsid w:val="5734780A"/>
    <w:rsid w:val="583EBFAA"/>
    <w:rsid w:val="58C1F607"/>
    <w:rsid w:val="58C68624"/>
    <w:rsid w:val="59119C1F"/>
    <w:rsid w:val="59233582"/>
    <w:rsid w:val="5943780F"/>
    <w:rsid w:val="59D0123E"/>
    <w:rsid w:val="59F6BFC4"/>
    <w:rsid w:val="59FBAD5A"/>
    <w:rsid w:val="59FD29E5"/>
    <w:rsid w:val="5A951732"/>
    <w:rsid w:val="5ADDD65B"/>
    <w:rsid w:val="5B068E36"/>
    <w:rsid w:val="5B0DF42D"/>
    <w:rsid w:val="5B24DA55"/>
    <w:rsid w:val="5BA75426"/>
    <w:rsid w:val="5BC1C449"/>
    <w:rsid w:val="5BC238E2"/>
    <w:rsid w:val="5BD3F7BB"/>
    <w:rsid w:val="5BF5EE0E"/>
    <w:rsid w:val="5C010ABD"/>
    <w:rsid w:val="5C25E938"/>
    <w:rsid w:val="5C51FC0A"/>
    <w:rsid w:val="5C92EE0B"/>
    <w:rsid w:val="5C987E24"/>
    <w:rsid w:val="5CD55876"/>
    <w:rsid w:val="5CEA0907"/>
    <w:rsid w:val="5D187868"/>
    <w:rsid w:val="5D38A056"/>
    <w:rsid w:val="5D58DEC9"/>
    <w:rsid w:val="5D63B0D0"/>
    <w:rsid w:val="5D6B1545"/>
    <w:rsid w:val="5D836FBA"/>
    <w:rsid w:val="5D948063"/>
    <w:rsid w:val="5DE81DD7"/>
    <w:rsid w:val="5E17D649"/>
    <w:rsid w:val="5E3791A8"/>
    <w:rsid w:val="5E67F6D5"/>
    <w:rsid w:val="5E6EDFB5"/>
    <w:rsid w:val="5E9DCEC5"/>
    <w:rsid w:val="5E9EAE26"/>
    <w:rsid w:val="5EB529AB"/>
    <w:rsid w:val="5EB77F1C"/>
    <w:rsid w:val="5F0099E4"/>
    <w:rsid w:val="5F066518"/>
    <w:rsid w:val="5F53B9DC"/>
    <w:rsid w:val="5F7349DE"/>
    <w:rsid w:val="5F799463"/>
    <w:rsid w:val="5F9A8E94"/>
    <w:rsid w:val="5FA48DD7"/>
    <w:rsid w:val="5FB46B09"/>
    <w:rsid w:val="5FCC9441"/>
    <w:rsid w:val="5FF00CAB"/>
    <w:rsid w:val="6078140E"/>
    <w:rsid w:val="608AA205"/>
    <w:rsid w:val="60F604FA"/>
    <w:rsid w:val="60FCCCD2"/>
    <w:rsid w:val="6128E61E"/>
    <w:rsid w:val="613A0581"/>
    <w:rsid w:val="61BD12B3"/>
    <w:rsid w:val="62157F35"/>
    <w:rsid w:val="6249EFC6"/>
    <w:rsid w:val="6294BD50"/>
    <w:rsid w:val="629AD167"/>
    <w:rsid w:val="62C7F50A"/>
    <w:rsid w:val="62ECA05F"/>
    <w:rsid w:val="6364EEBF"/>
    <w:rsid w:val="637FB450"/>
    <w:rsid w:val="639C0E73"/>
    <w:rsid w:val="63B81D33"/>
    <w:rsid w:val="63BB2A19"/>
    <w:rsid w:val="63BEDE7E"/>
    <w:rsid w:val="6429EC34"/>
    <w:rsid w:val="642CA877"/>
    <w:rsid w:val="644383D1"/>
    <w:rsid w:val="645E1990"/>
    <w:rsid w:val="64837740"/>
    <w:rsid w:val="64A6FC6B"/>
    <w:rsid w:val="658797FC"/>
    <w:rsid w:val="6594C992"/>
    <w:rsid w:val="65A77875"/>
    <w:rsid w:val="65C7CCC1"/>
    <w:rsid w:val="65EAB000"/>
    <w:rsid w:val="6623B203"/>
    <w:rsid w:val="6655B015"/>
    <w:rsid w:val="668BFBBD"/>
    <w:rsid w:val="66F0C52C"/>
    <w:rsid w:val="66F4DD77"/>
    <w:rsid w:val="6708FBFB"/>
    <w:rsid w:val="67184E71"/>
    <w:rsid w:val="676AFF5A"/>
    <w:rsid w:val="678605B5"/>
    <w:rsid w:val="67B95AEF"/>
    <w:rsid w:val="67E1BC6D"/>
    <w:rsid w:val="67FB09AF"/>
    <w:rsid w:val="6824E72E"/>
    <w:rsid w:val="68395BE1"/>
    <w:rsid w:val="6847CA78"/>
    <w:rsid w:val="6885D6CF"/>
    <w:rsid w:val="68CDC6E1"/>
    <w:rsid w:val="694DAD9B"/>
    <w:rsid w:val="69723D1E"/>
    <w:rsid w:val="69814B97"/>
    <w:rsid w:val="69D01F43"/>
    <w:rsid w:val="6A967E55"/>
    <w:rsid w:val="6AD13CCA"/>
    <w:rsid w:val="6AE825EF"/>
    <w:rsid w:val="6AF092E8"/>
    <w:rsid w:val="6AF934F2"/>
    <w:rsid w:val="6B639A62"/>
    <w:rsid w:val="6B6FDC20"/>
    <w:rsid w:val="6B8A68DC"/>
    <w:rsid w:val="6BB63C39"/>
    <w:rsid w:val="6BD2D9B7"/>
    <w:rsid w:val="6C18F06F"/>
    <w:rsid w:val="6C221CAA"/>
    <w:rsid w:val="6C2DDC70"/>
    <w:rsid w:val="6C4524A3"/>
    <w:rsid w:val="6CEA7C80"/>
    <w:rsid w:val="6CF1ACDF"/>
    <w:rsid w:val="6D391BB1"/>
    <w:rsid w:val="6D81F35B"/>
    <w:rsid w:val="6DC74307"/>
    <w:rsid w:val="6E133359"/>
    <w:rsid w:val="6E2251A7"/>
    <w:rsid w:val="6E6F1AEC"/>
    <w:rsid w:val="6E8AA530"/>
    <w:rsid w:val="6EED8264"/>
    <w:rsid w:val="6F0FBD0D"/>
    <w:rsid w:val="6F65CE99"/>
    <w:rsid w:val="6FC3DEEB"/>
    <w:rsid w:val="7008087F"/>
    <w:rsid w:val="70089FB3"/>
    <w:rsid w:val="70099CEF"/>
    <w:rsid w:val="702786E3"/>
    <w:rsid w:val="704F9BA1"/>
    <w:rsid w:val="711087C0"/>
    <w:rsid w:val="712D5BA3"/>
    <w:rsid w:val="7146BBE7"/>
    <w:rsid w:val="71515DD1"/>
    <w:rsid w:val="716FA596"/>
    <w:rsid w:val="71D5E7E8"/>
    <w:rsid w:val="71F40070"/>
    <w:rsid w:val="71F66934"/>
    <w:rsid w:val="71FD289A"/>
    <w:rsid w:val="7209283D"/>
    <w:rsid w:val="72162BBF"/>
    <w:rsid w:val="72433026"/>
    <w:rsid w:val="72887A67"/>
    <w:rsid w:val="72EA58A5"/>
    <w:rsid w:val="731498F6"/>
    <w:rsid w:val="73342DCE"/>
    <w:rsid w:val="7354CE52"/>
    <w:rsid w:val="7361C503"/>
    <w:rsid w:val="73E096C9"/>
    <w:rsid w:val="73EFAFC8"/>
    <w:rsid w:val="7421F107"/>
    <w:rsid w:val="7436ED2C"/>
    <w:rsid w:val="74467DEB"/>
    <w:rsid w:val="744C8BB4"/>
    <w:rsid w:val="7456D07C"/>
    <w:rsid w:val="746497EF"/>
    <w:rsid w:val="74660761"/>
    <w:rsid w:val="7497D7D2"/>
    <w:rsid w:val="74A134DE"/>
    <w:rsid w:val="7539B109"/>
    <w:rsid w:val="75605CE1"/>
    <w:rsid w:val="757687D3"/>
    <w:rsid w:val="7600CCC6"/>
    <w:rsid w:val="764B0EC3"/>
    <w:rsid w:val="7660E506"/>
    <w:rsid w:val="767F66C8"/>
    <w:rsid w:val="76D0DB81"/>
    <w:rsid w:val="76E7FE9B"/>
    <w:rsid w:val="76EBD437"/>
    <w:rsid w:val="76FF441D"/>
    <w:rsid w:val="7726D969"/>
    <w:rsid w:val="77613CF6"/>
    <w:rsid w:val="77F33CF4"/>
    <w:rsid w:val="7871D489"/>
    <w:rsid w:val="789B4BCC"/>
    <w:rsid w:val="78A1EC29"/>
    <w:rsid w:val="78BB7639"/>
    <w:rsid w:val="78D57AA8"/>
    <w:rsid w:val="78F7CBE6"/>
    <w:rsid w:val="791F4EFA"/>
    <w:rsid w:val="79374155"/>
    <w:rsid w:val="795B2315"/>
    <w:rsid w:val="7999F51C"/>
    <w:rsid w:val="79C4170A"/>
    <w:rsid w:val="79E9FF8D"/>
    <w:rsid w:val="7A4D36D3"/>
    <w:rsid w:val="7AC39AE0"/>
    <w:rsid w:val="7AC3FD1C"/>
    <w:rsid w:val="7B1236C4"/>
    <w:rsid w:val="7B2D5A1C"/>
    <w:rsid w:val="7B6AA9C4"/>
    <w:rsid w:val="7B867E7A"/>
    <w:rsid w:val="7BAFF185"/>
    <w:rsid w:val="7BD58033"/>
    <w:rsid w:val="7C1897BE"/>
    <w:rsid w:val="7C352248"/>
    <w:rsid w:val="7C4A3630"/>
    <w:rsid w:val="7C4DA34C"/>
    <w:rsid w:val="7CB9A054"/>
    <w:rsid w:val="7CCD3F23"/>
    <w:rsid w:val="7CD0137E"/>
    <w:rsid w:val="7D0F1A48"/>
    <w:rsid w:val="7D5DB218"/>
    <w:rsid w:val="7D6C7A97"/>
    <w:rsid w:val="7D95AD5B"/>
    <w:rsid w:val="7DB873ED"/>
    <w:rsid w:val="7DF916A7"/>
    <w:rsid w:val="7E24BAA5"/>
    <w:rsid w:val="7E26DC0F"/>
    <w:rsid w:val="7E29A935"/>
    <w:rsid w:val="7E2E5244"/>
    <w:rsid w:val="7E66AFED"/>
    <w:rsid w:val="7E89550C"/>
    <w:rsid w:val="7E9DB905"/>
    <w:rsid w:val="7ED80A64"/>
    <w:rsid w:val="7EDF43EF"/>
    <w:rsid w:val="7F2C3A79"/>
    <w:rsid w:val="7F3AD7F2"/>
    <w:rsid w:val="7F484641"/>
    <w:rsid w:val="7FBBAA5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98DF20"/>
  <w15:docId w15:val="{DDC4EF12-7FE8-432F-929E-8D851F65C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themeColor="text2"/>
        <w:sz w:val="18"/>
        <w:szCs w:val="18"/>
        <w:lang w:val="en-AU" w:eastAsia="en-US" w:bidi="ar-SA"/>
      </w:rPr>
    </w:rPrDefault>
    <w:pPrDefault>
      <w:pPr>
        <w:spacing w:line="240" w:lineRule="atLeast"/>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nhideWhenUsed="1"/>
    <w:lsdException w:name="List Bullet 5" w:semiHidden="1" w:unhideWhenUsed="1"/>
    <w:lsdException w:name="List Number 2" w:uiPriority="2"/>
    <w:lsdException w:name="List Number 3" w:semiHidden="1" w:uiPriority="2"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74100"/>
    <w:pPr>
      <w:adjustRightInd w:val="0"/>
      <w:snapToGrid w:val="0"/>
      <w:spacing w:after="134" w:line="320" w:lineRule="atLeast"/>
    </w:pPr>
    <w:rPr>
      <w:sz w:val="22"/>
    </w:rPr>
  </w:style>
  <w:style w:type="paragraph" w:styleId="Heading1">
    <w:name w:val="heading 1"/>
    <w:basedOn w:val="Normal"/>
    <w:next w:val="Normal"/>
    <w:link w:val="Heading1Char"/>
    <w:uiPriority w:val="1"/>
    <w:qFormat/>
    <w:rsid w:val="00D12933"/>
    <w:pPr>
      <w:keepNext/>
      <w:spacing w:after="227" w:line="600" w:lineRule="atLeast"/>
      <w:outlineLvl w:val="0"/>
    </w:pPr>
    <w:rPr>
      <w:rFonts w:asciiTheme="majorHAnsi" w:eastAsiaTheme="majorEastAsia" w:hAnsiTheme="majorHAnsi"/>
      <w:b/>
      <w:bCs/>
      <w:iCs/>
      <w:kern w:val="32"/>
      <w:sz w:val="40"/>
    </w:rPr>
  </w:style>
  <w:style w:type="paragraph" w:styleId="Heading2">
    <w:name w:val="heading 2"/>
    <w:basedOn w:val="Normal"/>
    <w:next w:val="Normal"/>
    <w:link w:val="Heading2Char"/>
    <w:uiPriority w:val="1"/>
    <w:qFormat/>
    <w:rsid w:val="00730019"/>
    <w:pPr>
      <w:keepNext/>
      <w:spacing w:after="227" w:line="600" w:lineRule="atLeast"/>
      <w:outlineLvl w:val="1"/>
    </w:pPr>
    <w:rPr>
      <w:rFonts w:asciiTheme="majorHAnsi" w:eastAsiaTheme="majorEastAsia" w:hAnsiTheme="majorHAnsi"/>
      <w:kern w:val="32"/>
      <w:sz w:val="40"/>
    </w:rPr>
  </w:style>
  <w:style w:type="paragraph" w:styleId="Heading3">
    <w:name w:val="heading 3"/>
    <w:basedOn w:val="Heading4"/>
    <w:next w:val="Normal"/>
    <w:link w:val="Heading3Char"/>
    <w:uiPriority w:val="1"/>
    <w:qFormat/>
    <w:rsid w:val="00730019"/>
    <w:pPr>
      <w:spacing w:after="134" w:line="460" w:lineRule="atLeast"/>
      <w:outlineLvl w:val="2"/>
    </w:pPr>
    <w:rPr>
      <w:rFonts w:asciiTheme="majorHAnsi" w:hAnsiTheme="majorHAnsi"/>
      <w:b w:val="0"/>
      <w:sz w:val="30"/>
    </w:rPr>
  </w:style>
  <w:style w:type="paragraph" w:styleId="Heading4">
    <w:name w:val="heading 4"/>
    <w:next w:val="Normal"/>
    <w:link w:val="Heading4Char"/>
    <w:uiPriority w:val="1"/>
    <w:qFormat/>
    <w:rsid w:val="00730019"/>
    <w:pPr>
      <w:adjustRightInd w:val="0"/>
      <w:snapToGrid w:val="0"/>
      <w:spacing w:before="57" w:after="170" w:line="360" w:lineRule="atLeast"/>
      <w:outlineLvl w:val="3"/>
    </w:pPr>
    <w:rPr>
      <w:rFonts w:eastAsiaTheme="majorEastAsia" w:cstheme="majorBidi"/>
      <w:b/>
      <w:bCs/>
      <w:sz w:val="24"/>
      <w:szCs w:val="28"/>
    </w:rPr>
  </w:style>
  <w:style w:type="paragraph" w:styleId="Heading5">
    <w:name w:val="heading 5"/>
    <w:basedOn w:val="Normal"/>
    <w:next w:val="Normal"/>
    <w:link w:val="Heading5Char"/>
    <w:semiHidden/>
    <w:qFormat/>
    <w:rsid w:val="00971ECD"/>
    <w:pPr>
      <w:keepNext/>
      <w:numPr>
        <w:numId w:val="11"/>
      </w:numPr>
      <w:spacing w:after="660" w:line="480" w:lineRule="exact"/>
      <w:outlineLvl w:val="4"/>
    </w:pPr>
    <w:rPr>
      <w:rFonts w:eastAsiaTheme="majorEastAsia" w:cstheme="majorBidi"/>
      <w:b/>
      <w:bCs/>
      <w:color w:val="FFFFFF" w:themeColor="background2"/>
      <w:sz w:val="44"/>
      <w:lang w:eastAsia="x-none" w:bidi="he-IL"/>
    </w:rPr>
  </w:style>
  <w:style w:type="paragraph" w:styleId="Heading6">
    <w:name w:val="heading 6"/>
    <w:basedOn w:val="Normal"/>
    <w:next w:val="Normal"/>
    <w:link w:val="Heading6Char"/>
    <w:semiHidden/>
    <w:qFormat/>
    <w:rsid w:val="000D6626"/>
    <w:pPr>
      <w:keepNext/>
      <w:jc w:val="center"/>
      <w:outlineLvl w:val="5"/>
    </w:pPr>
    <w:rPr>
      <w:rFonts w:eastAsiaTheme="majorEastAsia"/>
      <w:color w:val="000080"/>
      <w:sz w:val="52"/>
      <w:lang w:val="en-US"/>
    </w:rPr>
  </w:style>
  <w:style w:type="paragraph" w:styleId="Heading7">
    <w:name w:val="heading 7"/>
    <w:basedOn w:val="Normal"/>
    <w:next w:val="Normal"/>
    <w:link w:val="Heading7Char"/>
    <w:semiHidden/>
    <w:qFormat/>
    <w:rsid w:val="000D6626"/>
    <w:pPr>
      <w:keepNext/>
      <w:jc w:val="center"/>
      <w:outlineLvl w:val="6"/>
    </w:pPr>
    <w:rPr>
      <w:rFonts w:eastAsiaTheme="majorEastAsia"/>
      <w:b/>
      <w:bCs/>
    </w:rPr>
  </w:style>
  <w:style w:type="paragraph" w:styleId="Heading8">
    <w:name w:val="heading 8"/>
    <w:basedOn w:val="Normal"/>
    <w:next w:val="Normal"/>
    <w:link w:val="Heading8Char"/>
    <w:uiPriority w:val="9"/>
    <w:semiHidden/>
    <w:unhideWhenUsed/>
    <w:qFormat/>
    <w:rsid w:val="000D6626"/>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0D6626"/>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rsid w:val="00C002E6"/>
    <w:pPr>
      <w:numPr>
        <w:numId w:val="16"/>
      </w:numPr>
      <w:spacing w:after="57"/>
    </w:pPr>
  </w:style>
  <w:style w:type="character" w:styleId="PageNumber">
    <w:name w:val="page number"/>
    <w:semiHidden/>
    <w:rsid w:val="00D40C9F"/>
    <w:rPr>
      <w:rFonts w:asciiTheme="majorHAnsi" w:hAnsiTheme="majorHAnsi" w:cs="Arial"/>
      <w:b/>
      <w:color w:val="30AEB6" w:themeColor="accent2"/>
      <w:sz w:val="22"/>
    </w:rPr>
  </w:style>
  <w:style w:type="table" w:styleId="TableGrid">
    <w:name w:val="Table Grid"/>
    <w:basedOn w:val="TableNormal"/>
    <w:uiPriority w:val="59"/>
    <w:rsid w:val="000D6626"/>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B2101D"/>
    <w:pPr>
      <w:spacing w:after="0"/>
    </w:pPr>
    <w:rPr>
      <w:rFonts w:cs="Arial"/>
      <w:szCs w:val="24"/>
    </w:rPr>
  </w:style>
  <w:style w:type="paragraph" w:styleId="TOC1">
    <w:name w:val="toc 1"/>
    <w:basedOn w:val="Normal"/>
    <w:next w:val="Normal"/>
    <w:uiPriority w:val="39"/>
    <w:rsid w:val="0016211E"/>
    <w:pPr>
      <w:pBdr>
        <w:bottom w:val="single" w:sz="4" w:space="1" w:color="E5E8EC"/>
      </w:pBdr>
      <w:tabs>
        <w:tab w:val="right" w:pos="10206"/>
      </w:tabs>
      <w:spacing w:before="57" w:line="360" w:lineRule="atLeast"/>
    </w:pPr>
    <w:rPr>
      <w:b/>
      <w:sz w:val="24"/>
    </w:rPr>
  </w:style>
  <w:style w:type="paragraph" w:styleId="BodyText">
    <w:name w:val="Body Text"/>
    <w:basedOn w:val="Normal"/>
    <w:link w:val="BodyTextChar"/>
    <w:uiPriority w:val="99"/>
    <w:semiHidden/>
    <w:rsid w:val="000D6626"/>
    <w:rPr>
      <w:lang w:eastAsia="x-none" w:bidi="he-IL"/>
    </w:rPr>
  </w:style>
  <w:style w:type="character" w:customStyle="1" w:styleId="BodyTextChar">
    <w:name w:val="Body Text Char"/>
    <w:link w:val="BodyText"/>
    <w:uiPriority w:val="99"/>
    <w:semiHidden/>
    <w:rsid w:val="000D6626"/>
    <w:rPr>
      <w:rFonts w:ascii="Arial" w:hAnsi="Arial"/>
      <w:sz w:val="22"/>
      <w:szCs w:val="22"/>
      <w:lang w:eastAsia="x-none" w:bidi="he-IL"/>
    </w:rPr>
  </w:style>
  <w:style w:type="paragraph" w:styleId="BodyTextIndent3">
    <w:name w:val="Body Text Indent 3"/>
    <w:basedOn w:val="Normal"/>
    <w:link w:val="BodyTextIndent3Char"/>
    <w:semiHidden/>
    <w:rsid w:val="000D6626"/>
    <w:pPr>
      <w:tabs>
        <w:tab w:val="left" w:pos="-1440"/>
      </w:tabs>
      <w:ind w:left="4321" w:hanging="4321"/>
    </w:pPr>
    <w:rPr>
      <w:b/>
      <w:lang w:val="en-GB"/>
    </w:rPr>
  </w:style>
  <w:style w:type="character" w:customStyle="1" w:styleId="BodyTextIndent3Char">
    <w:name w:val="Body Text Indent 3 Char"/>
    <w:basedOn w:val="DefaultParagraphFont"/>
    <w:link w:val="BodyTextIndent3"/>
    <w:semiHidden/>
    <w:rsid w:val="000D6626"/>
    <w:rPr>
      <w:rFonts w:asciiTheme="minorHAnsi" w:hAnsiTheme="minorHAnsi"/>
      <w:b/>
      <w:sz w:val="22"/>
      <w:szCs w:val="24"/>
      <w:lang w:val="en-GB"/>
    </w:rPr>
  </w:style>
  <w:style w:type="numbering" w:styleId="111111">
    <w:name w:val="Outline List 2"/>
    <w:basedOn w:val="NoList"/>
    <w:uiPriority w:val="99"/>
    <w:semiHidden/>
    <w:unhideWhenUsed/>
    <w:rsid w:val="00831F70"/>
    <w:pPr>
      <w:numPr>
        <w:numId w:val="2"/>
      </w:numPr>
    </w:pPr>
  </w:style>
  <w:style w:type="numbering" w:styleId="1ai">
    <w:name w:val="Outline List 1"/>
    <w:basedOn w:val="NoList"/>
    <w:uiPriority w:val="99"/>
    <w:semiHidden/>
    <w:unhideWhenUsed/>
    <w:rsid w:val="00831F70"/>
    <w:pPr>
      <w:numPr>
        <w:numId w:val="1"/>
      </w:numPr>
    </w:pPr>
  </w:style>
  <w:style w:type="numbering" w:styleId="ArticleSection">
    <w:name w:val="Outline List 3"/>
    <w:basedOn w:val="NoList"/>
    <w:uiPriority w:val="99"/>
    <w:semiHidden/>
    <w:unhideWhenUsed/>
    <w:rsid w:val="00831F70"/>
    <w:pPr>
      <w:numPr>
        <w:numId w:val="3"/>
      </w:numPr>
    </w:pPr>
  </w:style>
  <w:style w:type="paragraph" w:styleId="BalloonText">
    <w:name w:val="Balloon Text"/>
    <w:basedOn w:val="Normal"/>
    <w:link w:val="BalloonTextChar"/>
    <w:uiPriority w:val="99"/>
    <w:semiHidden/>
    <w:unhideWhenUsed/>
    <w:rsid w:val="000D6626"/>
    <w:rPr>
      <w:rFonts w:ascii="Tahoma" w:hAnsi="Tahoma" w:cs="Lucida Grande"/>
      <w:sz w:val="16"/>
      <w:szCs w:val="16"/>
      <w:lang w:val="x-none" w:bidi="he-IL"/>
    </w:rPr>
  </w:style>
  <w:style w:type="character" w:customStyle="1" w:styleId="BalloonTextChar">
    <w:name w:val="Balloon Text Char"/>
    <w:link w:val="BalloonText"/>
    <w:uiPriority w:val="99"/>
    <w:semiHidden/>
    <w:rsid w:val="000D6626"/>
    <w:rPr>
      <w:rFonts w:ascii="Tahoma" w:hAnsi="Tahoma" w:cs="Lucida Grande"/>
      <w:sz w:val="16"/>
      <w:szCs w:val="16"/>
      <w:lang w:val="x-none" w:bidi="he-IL"/>
    </w:rPr>
  </w:style>
  <w:style w:type="paragraph" w:styleId="Bibliography">
    <w:name w:val="Bibliography"/>
    <w:basedOn w:val="Normal"/>
    <w:next w:val="Normal"/>
    <w:uiPriority w:val="37"/>
    <w:semiHidden/>
    <w:unhideWhenUsed/>
    <w:rsid w:val="000D6626"/>
  </w:style>
  <w:style w:type="paragraph" w:styleId="BlockText">
    <w:name w:val="Block Text"/>
    <w:basedOn w:val="Normal"/>
    <w:uiPriority w:val="99"/>
    <w:semiHidden/>
    <w:unhideWhenUsed/>
    <w:rsid w:val="000D6626"/>
    <w:pPr>
      <w:pBdr>
        <w:top w:val="single" w:sz="2" w:space="10" w:color="323E48" w:themeColor="accent1" w:shadow="1"/>
        <w:left w:val="single" w:sz="2" w:space="10" w:color="323E48" w:themeColor="accent1" w:shadow="1"/>
        <w:bottom w:val="single" w:sz="2" w:space="10" w:color="323E48" w:themeColor="accent1" w:shadow="1"/>
        <w:right w:val="single" w:sz="2" w:space="10" w:color="323E48" w:themeColor="accent1" w:shadow="1"/>
      </w:pBdr>
      <w:ind w:left="1152" w:right="1152"/>
    </w:pPr>
    <w:rPr>
      <w:rFonts w:cstheme="minorBidi"/>
      <w:i/>
      <w:iCs/>
      <w:color w:val="323E48" w:themeColor="accent1"/>
    </w:rPr>
  </w:style>
  <w:style w:type="paragraph" w:styleId="BodyText2">
    <w:name w:val="Body Text 2"/>
    <w:basedOn w:val="Normal"/>
    <w:link w:val="BodyText2Char"/>
    <w:semiHidden/>
    <w:rsid w:val="000D6626"/>
    <w:pPr>
      <w:pBdr>
        <w:top w:val="single" w:sz="4" w:space="1" w:color="auto"/>
        <w:left w:val="single" w:sz="4" w:space="5" w:color="auto"/>
        <w:bottom w:val="single" w:sz="4" w:space="1" w:color="auto"/>
        <w:right w:val="single" w:sz="4" w:space="6" w:color="auto"/>
      </w:pBdr>
      <w:tabs>
        <w:tab w:val="left" w:pos="0"/>
      </w:tabs>
    </w:pPr>
  </w:style>
  <w:style w:type="character" w:customStyle="1" w:styleId="BodyText2Char">
    <w:name w:val="Body Text 2 Char"/>
    <w:basedOn w:val="DefaultParagraphFont"/>
    <w:link w:val="BodyText2"/>
    <w:semiHidden/>
    <w:rsid w:val="000D6626"/>
    <w:rPr>
      <w:rFonts w:ascii="Arial" w:hAnsi="Arial" w:cs="Arial"/>
      <w:sz w:val="22"/>
      <w:szCs w:val="24"/>
    </w:rPr>
  </w:style>
  <w:style w:type="paragraph" w:styleId="BodyText3">
    <w:name w:val="Body Text 3"/>
    <w:basedOn w:val="Normal"/>
    <w:link w:val="BodyText3Char"/>
    <w:semiHidden/>
    <w:rsid w:val="000D6626"/>
    <w:pPr>
      <w:pBdr>
        <w:top w:val="single" w:sz="6" w:space="1" w:color="auto"/>
        <w:left w:val="single" w:sz="6" w:space="5" w:color="auto"/>
        <w:bottom w:val="single" w:sz="6" w:space="1" w:color="auto"/>
        <w:right w:val="single" w:sz="6" w:space="7" w:color="auto"/>
      </w:pBdr>
    </w:pPr>
  </w:style>
  <w:style w:type="character" w:customStyle="1" w:styleId="BodyText3Char">
    <w:name w:val="Body Text 3 Char"/>
    <w:basedOn w:val="DefaultParagraphFont"/>
    <w:link w:val="BodyText3"/>
    <w:semiHidden/>
    <w:rsid w:val="000D6626"/>
    <w:rPr>
      <w:rFonts w:ascii="Arial" w:hAnsi="Arial" w:cs="Arial"/>
      <w:sz w:val="22"/>
      <w:szCs w:val="24"/>
    </w:rPr>
  </w:style>
  <w:style w:type="paragraph" w:styleId="BodyTextFirstIndent">
    <w:name w:val="Body Text First Indent"/>
    <w:basedOn w:val="BodyText"/>
    <w:link w:val="BodyTextFirstIndentChar"/>
    <w:uiPriority w:val="99"/>
    <w:semiHidden/>
    <w:unhideWhenUsed/>
    <w:rsid w:val="000D6626"/>
    <w:pPr>
      <w:ind w:firstLine="360"/>
    </w:pPr>
    <w:rPr>
      <w:szCs w:val="24"/>
      <w:lang w:eastAsia="en-US" w:bidi="ar-SA"/>
    </w:rPr>
  </w:style>
  <w:style w:type="character" w:customStyle="1" w:styleId="BodyTextFirstIndentChar">
    <w:name w:val="Body Text First Indent Char"/>
    <w:basedOn w:val="BodyTextChar"/>
    <w:link w:val="BodyTextFirstIndent"/>
    <w:uiPriority w:val="99"/>
    <w:semiHidden/>
    <w:rsid w:val="000D6626"/>
    <w:rPr>
      <w:rFonts w:asciiTheme="minorHAnsi" w:hAnsiTheme="minorHAnsi"/>
      <w:sz w:val="22"/>
      <w:szCs w:val="24"/>
      <w:lang w:eastAsia="x-none" w:bidi="he-IL"/>
    </w:rPr>
  </w:style>
  <w:style w:type="paragraph" w:styleId="BodyTextIndent">
    <w:name w:val="Body Text Indent"/>
    <w:basedOn w:val="Normal"/>
    <w:link w:val="BodyTextIndentChar"/>
    <w:uiPriority w:val="99"/>
    <w:semiHidden/>
    <w:unhideWhenUsed/>
    <w:rsid w:val="000D6626"/>
    <w:pPr>
      <w:ind w:left="283"/>
    </w:pPr>
  </w:style>
  <w:style w:type="character" w:customStyle="1" w:styleId="BodyTextIndentChar">
    <w:name w:val="Body Text Indent Char"/>
    <w:basedOn w:val="DefaultParagraphFont"/>
    <w:link w:val="BodyTextIndent"/>
    <w:uiPriority w:val="99"/>
    <w:semiHidden/>
    <w:rsid w:val="000D6626"/>
    <w:rPr>
      <w:rFonts w:asciiTheme="minorHAnsi" w:hAnsiTheme="minorHAnsi"/>
      <w:sz w:val="22"/>
      <w:szCs w:val="24"/>
    </w:rPr>
  </w:style>
  <w:style w:type="paragraph" w:styleId="BodyTextFirstIndent2">
    <w:name w:val="Body Text First Indent 2"/>
    <w:basedOn w:val="BodyTextIndent"/>
    <w:link w:val="BodyTextFirstIndent2Char"/>
    <w:uiPriority w:val="99"/>
    <w:semiHidden/>
    <w:unhideWhenUsed/>
    <w:rsid w:val="000D6626"/>
    <w:pPr>
      <w:spacing w:after="140"/>
      <w:ind w:left="360" w:firstLine="360"/>
    </w:pPr>
  </w:style>
  <w:style w:type="character" w:customStyle="1" w:styleId="BodyTextFirstIndent2Char">
    <w:name w:val="Body Text First Indent 2 Char"/>
    <w:basedOn w:val="BodyTextIndentChar"/>
    <w:link w:val="BodyTextFirstIndent2"/>
    <w:uiPriority w:val="99"/>
    <w:semiHidden/>
    <w:rsid w:val="000D6626"/>
    <w:rPr>
      <w:rFonts w:asciiTheme="minorHAnsi" w:hAnsiTheme="minorHAnsi"/>
      <w:sz w:val="22"/>
      <w:szCs w:val="24"/>
    </w:rPr>
  </w:style>
  <w:style w:type="paragraph" w:styleId="BodyTextIndent2">
    <w:name w:val="Body Text Indent 2"/>
    <w:basedOn w:val="Normal"/>
    <w:link w:val="BodyTextIndent2Char"/>
    <w:uiPriority w:val="99"/>
    <w:semiHidden/>
    <w:unhideWhenUsed/>
    <w:rsid w:val="000D6626"/>
    <w:pPr>
      <w:spacing w:line="480" w:lineRule="auto"/>
      <w:ind w:left="283"/>
    </w:pPr>
  </w:style>
  <w:style w:type="character" w:customStyle="1" w:styleId="BodyTextIndent2Char">
    <w:name w:val="Body Text Indent 2 Char"/>
    <w:basedOn w:val="DefaultParagraphFont"/>
    <w:link w:val="BodyTextIndent2"/>
    <w:uiPriority w:val="99"/>
    <w:semiHidden/>
    <w:rsid w:val="000D6626"/>
    <w:rPr>
      <w:rFonts w:asciiTheme="minorHAnsi" w:hAnsiTheme="minorHAnsi"/>
      <w:sz w:val="22"/>
      <w:szCs w:val="24"/>
    </w:rPr>
  </w:style>
  <w:style w:type="character" w:styleId="BookTitle">
    <w:name w:val="Book Title"/>
    <w:basedOn w:val="DefaultParagraphFont"/>
    <w:uiPriority w:val="33"/>
    <w:semiHidden/>
    <w:qFormat/>
    <w:rsid w:val="000D6626"/>
    <w:rPr>
      <w:b/>
      <w:bCs/>
      <w:smallCaps/>
      <w:spacing w:val="5"/>
    </w:rPr>
  </w:style>
  <w:style w:type="paragraph" w:styleId="Closing">
    <w:name w:val="Closing"/>
    <w:basedOn w:val="Normal"/>
    <w:link w:val="ClosingChar"/>
    <w:uiPriority w:val="99"/>
    <w:semiHidden/>
    <w:unhideWhenUsed/>
    <w:rsid w:val="000D6626"/>
    <w:pPr>
      <w:ind w:left="4252"/>
    </w:pPr>
  </w:style>
  <w:style w:type="character" w:customStyle="1" w:styleId="ClosingChar">
    <w:name w:val="Closing Char"/>
    <w:basedOn w:val="DefaultParagraphFont"/>
    <w:link w:val="Closing"/>
    <w:uiPriority w:val="99"/>
    <w:semiHidden/>
    <w:rsid w:val="000D6626"/>
    <w:rPr>
      <w:rFonts w:asciiTheme="minorHAnsi" w:hAnsiTheme="minorHAnsi"/>
      <w:sz w:val="22"/>
      <w:szCs w:val="24"/>
    </w:rPr>
  </w:style>
  <w:style w:type="table" w:styleId="ColorfulGrid">
    <w:name w:val="Colorful Grid"/>
    <w:basedOn w:val="TableNormal"/>
    <w:uiPriority w:val="73"/>
    <w:rsid w:val="00831F70"/>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831F70"/>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D1D8DF" w:themeFill="accent1" w:themeFillTint="33"/>
      <w:tcMar>
        <w:top w:w="57" w:type="dxa"/>
        <w:left w:w="57" w:type="dxa"/>
        <w:bottom w:w="57" w:type="dxa"/>
        <w:right w:w="57" w:type="dxa"/>
      </w:tcMar>
    </w:tcPr>
    <w:tblStylePr w:type="firstRow">
      <w:rPr>
        <w:rFonts w:asciiTheme="majorHAnsi" w:hAnsiTheme="majorHAnsi"/>
        <w:b/>
        <w:bCs/>
      </w:rPr>
      <w:tblPr/>
      <w:tcPr>
        <w:shd w:val="clear" w:color="auto" w:fill="A3B2BF" w:themeFill="accent1" w:themeFillTint="66"/>
      </w:tcPr>
    </w:tblStylePr>
    <w:tblStylePr w:type="lastRow">
      <w:rPr>
        <w:b/>
        <w:bCs/>
        <w:color w:val="000000" w:themeColor="text1"/>
      </w:rPr>
      <w:tblPr/>
      <w:tcPr>
        <w:shd w:val="clear" w:color="auto" w:fill="A3B2BF" w:themeFill="accent1" w:themeFillTint="66"/>
      </w:tcPr>
    </w:tblStylePr>
    <w:tblStylePr w:type="firstCol">
      <w:rPr>
        <w:color w:val="FFFFFF" w:themeColor="background1"/>
      </w:rPr>
      <w:tblPr/>
      <w:tcPr>
        <w:shd w:val="clear" w:color="auto" w:fill="252E35" w:themeFill="accent1" w:themeFillShade="BF"/>
      </w:tcPr>
    </w:tblStylePr>
    <w:tblStylePr w:type="lastCol">
      <w:rPr>
        <w:color w:val="FFFFFF" w:themeColor="background1"/>
      </w:rPr>
      <w:tblPr/>
      <w:tcPr>
        <w:shd w:val="clear" w:color="auto" w:fill="252E35" w:themeFill="accent1" w:themeFillShade="BF"/>
      </w:tcPr>
    </w:tblStylePr>
    <w:tblStylePr w:type="band1Vert">
      <w:tblPr/>
      <w:tcPr>
        <w:shd w:val="clear" w:color="auto" w:fill="8C9FAF" w:themeFill="accent1" w:themeFillTint="7F"/>
      </w:tcPr>
    </w:tblStylePr>
    <w:tblStylePr w:type="band1Horz">
      <w:tblPr/>
      <w:tcPr>
        <w:shd w:val="clear" w:color="auto" w:fill="8C9FAF" w:themeFill="accent1" w:themeFillTint="7F"/>
      </w:tcPr>
    </w:tblStylePr>
  </w:style>
  <w:style w:type="table" w:styleId="ColorfulGrid-Accent2">
    <w:name w:val="Colorful Grid Accent 2"/>
    <w:basedOn w:val="TableNormal"/>
    <w:uiPriority w:val="73"/>
    <w:rsid w:val="00831F70"/>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D2F1F3" w:themeFill="accent2" w:themeFillTint="33"/>
      <w:tcMar>
        <w:top w:w="57" w:type="dxa"/>
        <w:left w:w="57" w:type="dxa"/>
        <w:bottom w:w="57" w:type="dxa"/>
        <w:right w:w="57" w:type="dxa"/>
      </w:tcMar>
    </w:tcPr>
    <w:tblStylePr w:type="firstRow">
      <w:rPr>
        <w:rFonts w:asciiTheme="majorHAnsi" w:hAnsiTheme="majorHAnsi"/>
        <w:b/>
        <w:bCs/>
      </w:rPr>
      <w:tblPr/>
      <w:tcPr>
        <w:shd w:val="clear" w:color="auto" w:fill="A6E3E7" w:themeFill="accent2" w:themeFillTint="66"/>
      </w:tcPr>
    </w:tblStylePr>
    <w:tblStylePr w:type="lastRow">
      <w:rPr>
        <w:b/>
        <w:bCs/>
        <w:color w:val="000000" w:themeColor="text1"/>
      </w:rPr>
      <w:tblPr/>
      <w:tcPr>
        <w:shd w:val="clear" w:color="auto" w:fill="A6E3E7" w:themeFill="accent2" w:themeFillTint="66"/>
      </w:tcPr>
    </w:tblStylePr>
    <w:tblStylePr w:type="firstCol">
      <w:rPr>
        <w:color w:val="FFFFFF" w:themeColor="background1"/>
      </w:rPr>
      <w:tblPr/>
      <w:tcPr>
        <w:shd w:val="clear" w:color="auto" w:fill="248188" w:themeFill="accent2" w:themeFillShade="BF"/>
      </w:tcPr>
    </w:tblStylePr>
    <w:tblStylePr w:type="lastCol">
      <w:rPr>
        <w:color w:val="FFFFFF" w:themeColor="background1"/>
      </w:rPr>
      <w:tblPr/>
      <w:tcPr>
        <w:shd w:val="clear" w:color="auto" w:fill="248188" w:themeFill="accent2" w:themeFillShade="BF"/>
      </w:tcPr>
    </w:tblStylePr>
    <w:tblStylePr w:type="band1Vert">
      <w:tblPr/>
      <w:tcPr>
        <w:shd w:val="clear" w:color="auto" w:fill="90DCE2" w:themeFill="accent2" w:themeFillTint="7F"/>
      </w:tcPr>
    </w:tblStylePr>
    <w:tblStylePr w:type="band1Horz">
      <w:tblPr/>
      <w:tcPr>
        <w:shd w:val="clear" w:color="auto" w:fill="90DCE2" w:themeFill="accent2" w:themeFillTint="7F"/>
      </w:tcPr>
    </w:tblStylePr>
  </w:style>
  <w:style w:type="table" w:styleId="ColorfulGrid-Accent3">
    <w:name w:val="Colorful Grid Accent 3"/>
    <w:basedOn w:val="TableNormal"/>
    <w:uiPriority w:val="73"/>
    <w:rsid w:val="00831F70"/>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8D9D3" w:themeFill="accent3" w:themeFillTint="33"/>
      <w:tcMar>
        <w:top w:w="57" w:type="dxa"/>
        <w:left w:w="57" w:type="dxa"/>
        <w:bottom w:w="57" w:type="dxa"/>
        <w:right w:w="57" w:type="dxa"/>
      </w:tcMar>
    </w:tcPr>
    <w:tblStylePr w:type="firstRow">
      <w:rPr>
        <w:rFonts w:asciiTheme="majorHAnsi" w:hAnsiTheme="majorHAnsi"/>
        <w:b/>
        <w:bCs/>
      </w:rPr>
      <w:tblPr/>
      <w:tcPr>
        <w:shd w:val="clear" w:color="auto" w:fill="F1B3A8" w:themeFill="accent3" w:themeFillTint="66"/>
      </w:tcPr>
    </w:tblStylePr>
    <w:tblStylePr w:type="lastRow">
      <w:rPr>
        <w:b/>
        <w:bCs/>
        <w:color w:val="000000" w:themeColor="text1"/>
      </w:rPr>
      <w:tblPr/>
      <w:tcPr>
        <w:shd w:val="clear" w:color="auto" w:fill="F1B3A8" w:themeFill="accent3" w:themeFillTint="66"/>
      </w:tcPr>
    </w:tblStylePr>
    <w:tblStylePr w:type="firstCol">
      <w:rPr>
        <w:color w:val="FFFFFF" w:themeColor="background1"/>
      </w:rPr>
      <w:tblPr/>
      <w:tcPr>
        <w:shd w:val="clear" w:color="auto" w:fill="A83019" w:themeFill="accent3" w:themeFillShade="BF"/>
      </w:tcPr>
    </w:tblStylePr>
    <w:tblStylePr w:type="lastCol">
      <w:rPr>
        <w:color w:val="FFFFFF" w:themeColor="background1"/>
      </w:rPr>
      <w:tblPr/>
      <w:tcPr>
        <w:shd w:val="clear" w:color="auto" w:fill="A83019" w:themeFill="accent3" w:themeFillShade="BF"/>
      </w:tcPr>
    </w:tblStylePr>
    <w:tblStylePr w:type="band1Vert">
      <w:tblPr/>
      <w:tcPr>
        <w:shd w:val="clear" w:color="auto" w:fill="EEA192" w:themeFill="accent3" w:themeFillTint="7F"/>
      </w:tcPr>
    </w:tblStylePr>
    <w:tblStylePr w:type="band1Horz">
      <w:tblPr/>
      <w:tcPr>
        <w:shd w:val="clear" w:color="auto" w:fill="EEA192" w:themeFill="accent3" w:themeFillTint="7F"/>
      </w:tcPr>
    </w:tblStylePr>
  </w:style>
  <w:style w:type="table" w:styleId="ColorfulGrid-Accent4">
    <w:name w:val="Colorful Grid Accent 4"/>
    <w:basedOn w:val="TableNormal"/>
    <w:uiPriority w:val="73"/>
    <w:rsid w:val="00831F70"/>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E6F4E8" w:themeFill="accent4" w:themeFillTint="33"/>
      <w:tcMar>
        <w:top w:w="57" w:type="dxa"/>
        <w:left w:w="57" w:type="dxa"/>
        <w:bottom w:w="57" w:type="dxa"/>
        <w:right w:w="57" w:type="dxa"/>
      </w:tcMar>
    </w:tcPr>
    <w:tblStylePr w:type="firstRow">
      <w:rPr>
        <w:rFonts w:asciiTheme="majorHAnsi" w:hAnsiTheme="majorHAnsi"/>
        <w:b/>
        <w:bCs/>
      </w:rPr>
      <w:tblPr/>
      <w:tcPr>
        <w:shd w:val="clear" w:color="auto" w:fill="CDE9D2" w:themeFill="accent4" w:themeFillTint="66"/>
      </w:tcPr>
    </w:tblStylePr>
    <w:tblStylePr w:type="lastRow">
      <w:rPr>
        <w:b/>
        <w:bCs/>
        <w:color w:val="000000" w:themeColor="text1"/>
      </w:rPr>
      <w:tblPr/>
      <w:tcPr>
        <w:shd w:val="clear" w:color="auto" w:fill="CDE9D2" w:themeFill="accent4" w:themeFillTint="66"/>
      </w:tcPr>
    </w:tblStylePr>
    <w:tblStylePr w:type="firstCol">
      <w:rPr>
        <w:color w:val="FFFFFF" w:themeColor="background1"/>
      </w:rPr>
      <w:tblPr/>
      <w:tcPr>
        <w:shd w:val="clear" w:color="auto" w:fill="4CAD5B" w:themeFill="accent4" w:themeFillShade="BF"/>
      </w:tcPr>
    </w:tblStylePr>
    <w:tblStylePr w:type="lastCol">
      <w:rPr>
        <w:color w:val="FFFFFF" w:themeColor="background1"/>
      </w:rPr>
      <w:tblPr/>
      <w:tcPr>
        <w:shd w:val="clear" w:color="auto" w:fill="4CAD5B" w:themeFill="accent4" w:themeFillShade="BF"/>
      </w:tcPr>
    </w:tblStylePr>
    <w:tblStylePr w:type="band1Vert">
      <w:tblPr/>
      <w:tcPr>
        <w:shd w:val="clear" w:color="auto" w:fill="C1E4C6" w:themeFill="accent4" w:themeFillTint="7F"/>
      </w:tcPr>
    </w:tblStylePr>
    <w:tblStylePr w:type="band1Horz">
      <w:tblPr/>
      <w:tcPr>
        <w:shd w:val="clear" w:color="auto" w:fill="C1E4C6" w:themeFill="accent4" w:themeFillTint="7F"/>
      </w:tcPr>
    </w:tblStylePr>
  </w:style>
  <w:style w:type="table" w:styleId="ColorfulGrid-Accent5">
    <w:name w:val="Colorful Grid Accent 5"/>
    <w:basedOn w:val="TableNormal"/>
    <w:uiPriority w:val="73"/>
    <w:rsid w:val="00831F70"/>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CEED1" w:themeFill="accent5" w:themeFillTint="33"/>
      <w:tcMar>
        <w:top w:w="57" w:type="dxa"/>
        <w:left w:w="57" w:type="dxa"/>
        <w:bottom w:w="57" w:type="dxa"/>
        <w:right w:w="57" w:type="dxa"/>
      </w:tcMar>
    </w:tcPr>
    <w:tblStylePr w:type="firstRow">
      <w:rPr>
        <w:rFonts w:asciiTheme="majorHAnsi" w:hAnsiTheme="majorHAnsi"/>
        <w:b/>
        <w:bCs/>
      </w:rPr>
      <w:tblPr/>
      <w:tcPr>
        <w:shd w:val="clear" w:color="auto" w:fill="F9DDA4" w:themeFill="accent5" w:themeFillTint="66"/>
      </w:tcPr>
    </w:tblStylePr>
    <w:tblStylePr w:type="lastRow">
      <w:rPr>
        <w:b/>
        <w:bCs/>
        <w:color w:val="000000" w:themeColor="text1"/>
      </w:rPr>
      <w:tblPr/>
      <w:tcPr>
        <w:shd w:val="clear" w:color="auto" w:fill="F9DDA4" w:themeFill="accent5" w:themeFillTint="66"/>
      </w:tcPr>
    </w:tblStylePr>
    <w:tblStylePr w:type="firstCol">
      <w:rPr>
        <w:color w:val="FFFFFF" w:themeColor="background1"/>
      </w:rPr>
      <w:tblPr/>
      <w:tcPr>
        <w:shd w:val="clear" w:color="auto" w:fill="BE830C" w:themeFill="accent5" w:themeFillShade="BF"/>
      </w:tcPr>
    </w:tblStylePr>
    <w:tblStylePr w:type="lastCol">
      <w:rPr>
        <w:color w:val="FFFFFF" w:themeColor="background1"/>
      </w:rPr>
      <w:tblPr/>
      <w:tcPr>
        <w:shd w:val="clear" w:color="auto" w:fill="BE830C" w:themeFill="accent5" w:themeFillShade="BF"/>
      </w:tcPr>
    </w:tblStylePr>
    <w:tblStylePr w:type="band1Vert">
      <w:tblPr/>
      <w:tcPr>
        <w:shd w:val="clear" w:color="auto" w:fill="F8D58E" w:themeFill="accent5" w:themeFillTint="7F"/>
      </w:tcPr>
    </w:tblStylePr>
    <w:tblStylePr w:type="band1Horz">
      <w:tblPr/>
      <w:tcPr>
        <w:shd w:val="clear" w:color="auto" w:fill="F8D58E" w:themeFill="accent5" w:themeFillTint="7F"/>
      </w:tcPr>
    </w:tblStylePr>
  </w:style>
  <w:style w:type="table" w:styleId="ColorfulGrid-Accent6">
    <w:name w:val="Colorful Grid Accent 6"/>
    <w:basedOn w:val="TableNormal"/>
    <w:uiPriority w:val="73"/>
    <w:rsid w:val="00831F70"/>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4C2E8" w:themeFill="accent6" w:themeFillTint="33"/>
      <w:tcMar>
        <w:top w:w="57" w:type="dxa"/>
        <w:left w:w="57" w:type="dxa"/>
        <w:bottom w:w="57" w:type="dxa"/>
        <w:right w:w="57" w:type="dxa"/>
      </w:tcMar>
    </w:tcPr>
    <w:tblStylePr w:type="firstRow">
      <w:rPr>
        <w:rFonts w:asciiTheme="majorHAnsi" w:hAnsiTheme="majorHAnsi"/>
        <w:b/>
        <w:bCs/>
      </w:rPr>
      <w:tblPr/>
      <w:tcPr>
        <w:shd w:val="clear" w:color="auto" w:fill="8B86D2" w:themeFill="accent6" w:themeFillTint="66"/>
      </w:tcPr>
    </w:tblStylePr>
    <w:tblStylePr w:type="lastRow">
      <w:rPr>
        <w:b/>
        <w:bCs/>
        <w:color w:val="000000" w:themeColor="text1"/>
      </w:rPr>
      <w:tblPr/>
      <w:tcPr>
        <w:shd w:val="clear" w:color="auto" w:fill="8B86D2" w:themeFill="accent6" w:themeFillTint="66"/>
      </w:tcPr>
    </w:tblStylePr>
    <w:tblStylePr w:type="firstCol">
      <w:rPr>
        <w:color w:val="FFFFFF" w:themeColor="background1"/>
      </w:rPr>
      <w:tblPr/>
      <w:tcPr>
        <w:shd w:val="clear" w:color="auto" w:fill="151334" w:themeFill="accent6" w:themeFillShade="BF"/>
      </w:tcPr>
    </w:tblStylePr>
    <w:tblStylePr w:type="lastCol">
      <w:rPr>
        <w:color w:val="FFFFFF" w:themeColor="background1"/>
      </w:rPr>
      <w:tblPr/>
      <w:tcPr>
        <w:shd w:val="clear" w:color="auto" w:fill="151334" w:themeFill="accent6" w:themeFillShade="BF"/>
      </w:tcPr>
    </w:tblStylePr>
    <w:tblStylePr w:type="band1Vert">
      <w:tblPr/>
      <w:tcPr>
        <w:shd w:val="clear" w:color="auto" w:fill="6E68C7" w:themeFill="accent6" w:themeFillTint="7F"/>
      </w:tcPr>
    </w:tblStylePr>
    <w:tblStylePr w:type="band1Horz">
      <w:tblPr/>
      <w:tcPr>
        <w:shd w:val="clear" w:color="auto" w:fill="6E68C7" w:themeFill="accent6" w:themeFillTint="7F"/>
      </w:tcPr>
    </w:tblStylePr>
  </w:style>
  <w:style w:type="table" w:styleId="ColorfulList">
    <w:name w:val="Colorful List"/>
    <w:basedOn w:val="TableNormal"/>
    <w:uiPriority w:val="72"/>
    <w:rsid w:val="00831F70"/>
    <w:rPr>
      <w:rFonts w:eastAsia="MS Mincho"/>
      <w:color w:val="000000" w:themeColor="text1"/>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268A91" w:themeFill="accent2" w:themeFillShade="CC"/>
      </w:tcPr>
    </w:tblStylePr>
    <w:tblStylePr w:type="lastRow">
      <w:rPr>
        <w:b/>
        <w:bCs/>
        <w:color w:val="268A9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831F70"/>
    <w:rPr>
      <w:rFonts w:eastAsia="MS Mincho"/>
      <w:color w:val="000000" w:themeColor="text1"/>
      <w:lang w:val="en-GB" w:eastAsia="en-GB"/>
    </w:rPr>
    <w:tblPr>
      <w:tblStyleRowBandSize w:val="1"/>
      <w:tblStyleColBandSize w:val="1"/>
    </w:tblPr>
    <w:tcPr>
      <w:shd w:val="clear" w:color="auto" w:fill="E8ECEF"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268A91" w:themeFill="accent2" w:themeFillShade="CC"/>
      </w:tcPr>
    </w:tblStylePr>
    <w:tblStylePr w:type="lastRow">
      <w:rPr>
        <w:b/>
        <w:bCs/>
        <w:color w:val="268A9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CFD7" w:themeFill="accent1" w:themeFillTint="3F"/>
      </w:tcPr>
    </w:tblStylePr>
    <w:tblStylePr w:type="band1Horz">
      <w:tblPr/>
      <w:tcPr>
        <w:shd w:val="clear" w:color="auto" w:fill="D1D8DF" w:themeFill="accent1" w:themeFillTint="33"/>
      </w:tcPr>
    </w:tblStylePr>
  </w:style>
  <w:style w:type="table" w:styleId="ColorfulList-Accent2">
    <w:name w:val="Colorful List Accent 2"/>
    <w:basedOn w:val="TableNormal"/>
    <w:uiPriority w:val="72"/>
    <w:rsid w:val="00831F70"/>
    <w:rPr>
      <w:rFonts w:eastAsia="MS Mincho"/>
      <w:color w:val="000000" w:themeColor="text1"/>
      <w:lang w:val="en-GB" w:eastAsia="en-GB"/>
    </w:rPr>
    <w:tblPr>
      <w:tblStyleRowBandSize w:val="1"/>
      <w:tblStyleColBandSize w:val="1"/>
    </w:tblPr>
    <w:tcPr>
      <w:shd w:val="clear" w:color="auto" w:fill="E9F8F9"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268A91" w:themeFill="accent2" w:themeFillShade="CC"/>
      </w:tcPr>
    </w:tblStylePr>
    <w:tblStylePr w:type="lastRow">
      <w:rPr>
        <w:b/>
        <w:bCs/>
        <w:color w:val="268A9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EEF0" w:themeFill="accent2" w:themeFillTint="3F"/>
      </w:tcPr>
    </w:tblStylePr>
    <w:tblStylePr w:type="band1Horz">
      <w:tblPr/>
      <w:tcPr>
        <w:shd w:val="clear" w:color="auto" w:fill="D2F1F3" w:themeFill="accent2" w:themeFillTint="33"/>
      </w:tcPr>
    </w:tblStylePr>
  </w:style>
  <w:style w:type="table" w:styleId="ColorfulList-Accent3">
    <w:name w:val="Colorful List Accent 3"/>
    <w:basedOn w:val="TableNormal"/>
    <w:uiPriority w:val="72"/>
    <w:rsid w:val="00831F70"/>
    <w:rPr>
      <w:rFonts w:eastAsia="MS Mincho"/>
      <w:color w:val="000000" w:themeColor="text1"/>
      <w:lang w:val="en-GB" w:eastAsia="en-GB"/>
    </w:rPr>
    <w:tblPr>
      <w:tblStyleRowBandSize w:val="1"/>
      <w:tblStyleColBandSize w:val="1"/>
    </w:tblPr>
    <w:tcPr>
      <w:shd w:val="clear" w:color="auto" w:fill="FBECE9"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55B464" w:themeFill="accent4" w:themeFillShade="CC"/>
      </w:tcPr>
    </w:tblStylePr>
    <w:tblStylePr w:type="lastRow">
      <w:rPr>
        <w:b/>
        <w:bCs/>
        <w:color w:val="55B4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0C9" w:themeFill="accent3" w:themeFillTint="3F"/>
      </w:tcPr>
    </w:tblStylePr>
    <w:tblStylePr w:type="band1Horz">
      <w:tblPr/>
      <w:tcPr>
        <w:shd w:val="clear" w:color="auto" w:fill="F8D9D3" w:themeFill="accent3" w:themeFillTint="33"/>
      </w:tcPr>
    </w:tblStylePr>
  </w:style>
  <w:style w:type="table" w:styleId="ColorfulList-Accent4">
    <w:name w:val="Colorful List Accent 4"/>
    <w:basedOn w:val="TableNormal"/>
    <w:uiPriority w:val="72"/>
    <w:rsid w:val="00831F70"/>
    <w:rPr>
      <w:rFonts w:eastAsia="MS Mincho"/>
      <w:color w:val="000000" w:themeColor="text1"/>
      <w:lang w:val="en-GB" w:eastAsia="en-GB"/>
    </w:rPr>
    <w:tblPr>
      <w:tblStyleRowBandSize w:val="1"/>
      <w:tblStyleColBandSize w:val="1"/>
    </w:tblPr>
    <w:tcPr>
      <w:shd w:val="clear" w:color="auto" w:fill="F2F9F3"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4331B" w:themeFill="accent3" w:themeFillShade="CC"/>
      </w:tcPr>
    </w:tblStylePr>
    <w:tblStylePr w:type="lastRow">
      <w:rPr>
        <w:b/>
        <w:bCs/>
        <w:color w:val="B433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F1E3" w:themeFill="accent4" w:themeFillTint="3F"/>
      </w:tcPr>
    </w:tblStylePr>
    <w:tblStylePr w:type="band1Horz">
      <w:tblPr/>
      <w:tcPr>
        <w:shd w:val="clear" w:color="auto" w:fill="E6F4E8" w:themeFill="accent4" w:themeFillTint="33"/>
      </w:tcPr>
    </w:tblStylePr>
  </w:style>
  <w:style w:type="table" w:styleId="ColorfulList-Accent5">
    <w:name w:val="Colorful List Accent 5"/>
    <w:basedOn w:val="TableNormal"/>
    <w:uiPriority w:val="72"/>
    <w:rsid w:val="00831F70"/>
    <w:rPr>
      <w:rFonts w:eastAsia="MS Mincho"/>
      <w:color w:val="000000" w:themeColor="text1"/>
      <w:lang w:val="en-GB" w:eastAsia="en-GB"/>
    </w:rPr>
    <w:tblPr>
      <w:tblStyleRowBandSize w:val="1"/>
      <w:tblStyleColBandSize w:val="1"/>
    </w:tblPr>
    <w:tcPr>
      <w:shd w:val="clear" w:color="auto" w:fill="FDF6E8"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171437" w:themeFill="accent6" w:themeFillShade="CC"/>
      </w:tcPr>
    </w:tblStylePr>
    <w:tblStylePr w:type="lastRow">
      <w:rPr>
        <w:b/>
        <w:bCs/>
        <w:color w:val="17143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AC7" w:themeFill="accent5" w:themeFillTint="3F"/>
      </w:tcPr>
    </w:tblStylePr>
    <w:tblStylePr w:type="band1Horz">
      <w:tblPr/>
      <w:tcPr>
        <w:shd w:val="clear" w:color="auto" w:fill="FCEED1" w:themeFill="accent5" w:themeFillTint="33"/>
      </w:tcPr>
    </w:tblStylePr>
  </w:style>
  <w:style w:type="table" w:styleId="ColorfulList-Accent6">
    <w:name w:val="Colorful List Accent 6"/>
    <w:basedOn w:val="TableNormal"/>
    <w:uiPriority w:val="72"/>
    <w:rsid w:val="00831F70"/>
    <w:rPr>
      <w:rFonts w:eastAsia="MS Mincho"/>
      <w:color w:val="000000" w:themeColor="text1"/>
      <w:lang w:val="en-GB" w:eastAsia="en-GB"/>
    </w:rPr>
    <w:tblPr>
      <w:tblStyleRowBandSize w:val="1"/>
      <w:tblStyleColBandSize w:val="1"/>
    </w:tblPr>
    <w:tcPr>
      <w:shd w:val="clear" w:color="auto" w:fill="E2E1F4"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CB8C0C" w:themeFill="accent5" w:themeFillShade="CC"/>
      </w:tcPr>
    </w:tblStylePr>
    <w:tblStylePr w:type="lastRow">
      <w:rPr>
        <w:b/>
        <w:bCs/>
        <w:color w:val="CB8C0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B4E3" w:themeFill="accent6" w:themeFillTint="3F"/>
      </w:tcPr>
    </w:tblStylePr>
    <w:tblStylePr w:type="band1Horz">
      <w:tblPr/>
      <w:tcPr>
        <w:shd w:val="clear" w:color="auto" w:fill="C4C2E8" w:themeFill="accent6" w:themeFillTint="33"/>
      </w:tcPr>
    </w:tblStylePr>
  </w:style>
  <w:style w:type="table" w:styleId="ColorfulShading">
    <w:name w:val="Colorful Shading"/>
    <w:basedOn w:val="TableNormal"/>
    <w:uiPriority w:val="71"/>
    <w:rsid w:val="00831F70"/>
    <w:rPr>
      <w:rFonts w:eastAsia="MS Mincho"/>
      <w:color w:val="000000" w:themeColor="text1"/>
      <w:lang w:val="en-GB" w:eastAsia="en-GB"/>
    </w:rPr>
    <w:tblPr>
      <w:tblStyleRowBandSize w:val="1"/>
      <w:tblStyleColBandSize w:val="1"/>
      <w:tblBorders>
        <w:top w:val="single" w:sz="24" w:space="0" w:color="30AEB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0AEB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831F70"/>
    <w:rPr>
      <w:rFonts w:eastAsia="MS Mincho"/>
      <w:color w:val="000000" w:themeColor="text1"/>
      <w:lang w:val="en-GB" w:eastAsia="en-GB"/>
    </w:rPr>
    <w:tblPr>
      <w:tblStyleRowBandSize w:val="1"/>
      <w:tblStyleColBandSize w:val="1"/>
      <w:tblBorders>
        <w:top w:val="single" w:sz="24" w:space="0" w:color="30AEB6" w:themeColor="accent2"/>
        <w:left w:val="single" w:sz="4" w:space="0" w:color="323E48" w:themeColor="accent1"/>
        <w:bottom w:val="single" w:sz="4" w:space="0" w:color="323E48" w:themeColor="accent1"/>
        <w:right w:val="single" w:sz="4" w:space="0" w:color="323E48" w:themeColor="accent1"/>
        <w:insideH w:val="single" w:sz="4" w:space="0" w:color="FFFFFF" w:themeColor="background1"/>
        <w:insideV w:val="single" w:sz="4" w:space="0" w:color="FFFFFF" w:themeColor="background1"/>
      </w:tblBorders>
    </w:tblPr>
    <w:tcPr>
      <w:shd w:val="clear" w:color="auto" w:fill="E8ECEF"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0AEB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252B" w:themeFill="accent1" w:themeFillShade="99"/>
      </w:tcPr>
    </w:tblStylePr>
    <w:tblStylePr w:type="firstCol">
      <w:rPr>
        <w:color w:val="FFFFFF" w:themeColor="background1"/>
      </w:rPr>
      <w:tblPr/>
      <w:tcPr>
        <w:tcBorders>
          <w:top w:val="nil"/>
          <w:left w:val="nil"/>
          <w:bottom w:val="nil"/>
          <w:right w:val="nil"/>
          <w:insideH w:val="single" w:sz="4" w:space="0" w:color="1E252B" w:themeColor="accent1" w:themeShade="99"/>
          <w:insideV w:val="nil"/>
        </w:tcBorders>
        <w:shd w:val="clear" w:color="auto" w:fill="1E25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E252B" w:themeFill="accent1" w:themeFillShade="99"/>
      </w:tcPr>
    </w:tblStylePr>
    <w:tblStylePr w:type="band1Vert">
      <w:tblPr/>
      <w:tcPr>
        <w:shd w:val="clear" w:color="auto" w:fill="A3B2BF" w:themeFill="accent1" w:themeFillTint="66"/>
      </w:tcPr>
    </w:tblStylePr>
    <w:tblStylePr w:type="band1Horz">
      <w:tblPr/>
      <w:tcPr>
        <w:shd w:val="clear" w:color="auto" w:fill="8C9FA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831F70"/>
    <w:rPr>
      <w:rFonts w:eastAsia="MS Mincho"/>
      <w:color w:val="000000" w:themeColor="text1"/>
      <w:lang w:val="en-GB" w:eastAsia="en-GB"/>
    </w:rPr>
    <w:tblPr>
      <w:tblStyleRowBandSize w:val="1"/>
      <w:tblStyleColBandSize w:val="1"/>
      <w:tblBorders>
        <w:top w:val="single" w:sz="24" w:space="0" w:color="30AEB6" w:themeColor="accent2"/>
        <w:left w:val="single" w:sz="4" w:space="0" w:color="30AEB6" w:themeColor="accent2"/>
        <w:bottom w:val="single" w:sz="4" w:space="0" w:color="30AEB6" w:themeColor="accent2"/>
        <w:right w:val="single" w:sz="4" w:space="0" w:color="30AEB6" w:themeColor="accent2"/>
        <w:insideH w:val="single" w:sz="4" w:space="0" w:color="FFFFFF" w:themeColor="background1"/>
        <w:insideV w:val="single" w:sz="4" w:space="0" w:color="FFFFFF" w:themeColor="background1"/>
      </w:tblBorders>
    </w:tblPr>
    <w:tcPr>
      <w:shd w:val="clear" w:color="auto" w:fill="E9F8F9"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0AEB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686D" w:themeFill="accent2" w:themeFillShade="99"/>
      </w:tcPr>
    </w:tblStylePr>
    <w:tblStylePr w:type="firstCol">
      <w:rPr>
        <w:color w:val="FFFFFF" w:themeColor="background1"/>
      </w:rPr>
      <w:tblPr/>
      <w:tcPr>
        <w:tcBorders>
          <w:top w:val="nil"/>
          <w:left w:val="nil"/>
          <w:bottom w:val="nil"/>
          <w:right w:val="nil"/>
          <w:insideH w:val="single" w:sz="4" w:space="0" w:color="1C686D" w:themeColor="accent2" w:themeShade="99"/>
          <w:insideV w:val="nil"/>
        </w:tcBorders>
        <w:shd w:val="clear" w:color="auto" w:fill="1C686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C686D" w:themeFill="accent2" w:themeFillShade="99"/>
      </w:tcPr>
    </w:tblStylePr>
    <w:tblStylePr w:type="band1Vert">
      <w:tblPr/>
      <w:tcPr>
        <w:shd w:val="clear" w:color="auto" w:fill="A6E3E7" w:themeFill="accent2" w:themeFillTint="66"/>
      </w:tcPr>
    </w:tblStylePr>
    <w:tblStylePr w:type="band1Horz">
      <w:tblPr/>
      <w:tcPr>
        <w:shd w:val="clear" w:color="auto" w:fill="90DCE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831F70"/>
    <w:rPr>
      <w:rFonts w:eastAsia="MS Mincho"/>
      <w:color w:val="000000" w:themeColor="text1"/>
      <w:lang w:val="en-GB" w:eastAsia="en-GB"/>
    </w:rPr>
    <w:tblPr>
      <w:tblStyleRowBandSize w:val="1"/>
      <w:tblStyleColBandSize w:val="1"/>
      <w:tblBorders>
        <w:top w:val="single" w:sz="24" w:space="0" w:color="84C98F" w:themeColor="accent4"/>
        <w:left w:val="single" w:sz="4" w:space="0" w:color="DE4326" w:themeColor="accent3"/>
        <w:bottom w:val="single" w:sz="4" w:space="0" w:color="DE4326" w:themeColor="accent3"/>
        <w:right w:val="single" w:sz="4" w:space="0" w:color="DE4326" w:themeColor="accent3"/>
        <w:insideH w:val="single" w:sz="4" w:space="0" w:color="FFFFFF" w:themeColor="background1"/>
        <w:insideV w:val="single" w:sz="4" w:space="0" w:color="FFFFFF" w:themeColor="background1"/>
      </w:tblBorders>
    </w:tblPr>
    <w:tcPr>
      <w:shd w:val="clear" w:color="auto" w:fill="FBECE9"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4C98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2614" w:themeFill="accent3" w:themeFillShade="99"/>
      </w:tcPr>
    </w:tblStylePr>
    <w:tblStylePr w:type="firstCol">
      <w:rPr>
        <w:color w:val="FFFFFF" w:themeColor="background1"/>
      </w:rPr>
      <w:tblPr/>
      <w:tcPr>
        <w:tcBorders>
          <w:top w:val="nil"/>
          <w:left w:val="nil"/>
          <w:bottom w:val="nil"/>
          <w:right w:val="nil"/>
          <w:insideH w:val="single" w:sz="4" w:space="0" w:color="872614" w:themeColor="accent3" w:themeShade="99"/>
          <w:insideV w:val="nil"/>
        </w:tcBorders>
        <w:shd w:val="clear" w:color="auto" w:fill="87261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2614" w:themeFill="accent3" w:themeFillShade="99"/>
      </w:tcPr>
    </w:tblStylePr>
    <w:tblStylePr w:type="band1Vert">
      <w:tblPr/>
      <w:tcPr>
        <w:shd w:val="clear" w:color="auto" w:fill="F1B3A8" w:themeFill="accent3" w:themeFillTint="66"/>
      </w:tcPr>
    </w:tblStylePr>
    <w:tblStylePr w:type="band1Horz">
      <w:tblPr/>
      <w:tcPr>
        <w:shd w:val="clear" w:color="auto" w:fill="EEA192" w:themeFill="accent3" w:themeFillTint="7F"/>
      </w:tcPr>
    </w:tblStylePr>
  </w:style>
  <w:style w:type="table" w:styleId="ColorfulShading-Accent4">
    <w:name w:val="Colorful Shading Accent 4"/>
    <w:basedOn w:val="TableNormal"/>
    <w:uiPriority w:val="71"/>
    <w:rsid w:val="00831F70"/>
    <w:rPr>
      <w:rFonts w:eastAsia="MS Mincho"/>
      <w:color w:val="000000" w:themeColor="text1"/>
      <w:lang w:val="en-GB" w:eastAsia="en-GB"/>
    </w:rPr>
    <w:tblPr>
      <w:tblStyleRowBandSize w:val="1"/>
      <w:tblStyleColBandSize w:val="1"/>
      <w:tblBorders>
        <w:top w:val="single" w:sz="24" w:space="0" w:color="DE4326" w:themeColor="accent3"/>
        <w:left w:val="single" w:sz="4" w:space="0" w:color="84C98F" w:themeColor="accent4"/>
        <w:bottom w:val="single" w:sz="4" w:space="0" w:color="84C98F" w:themeColor="accent4"/>
        <w:right w:val="single" w:sz="4" w:space="0" w:color="84C98F" w:themeColor="accent4"/>
        <w:insideH w:val="single" w:sz="4" w:space="0" w:color="FFFFFF" w:themeColor="background1"/>
        <w:insideV w:val="single" w:sz="4" w:space="0" w:color="FFFFFF" w:themeColor="background1"/>
      </w:tblBorders>
    </w:tblPr>
    <w:tcPr>
      <w:shd w:val="clear" w:color="auto" w:fill="F2F9F3"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E432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8A49" w:themeFill="accent4" w:themeFillShade="99"/>
      </w:tcPr>
    </w:tblStylePr>
    <w:tblStylePr w:type="firstCol">
      <w:rPr>
        <w:color w:val="FFFFFF" w:themeColor="background1"/>
      </w:rPr>
      <w:tblPr/>
      <w:tcPr>
        <w:tcBorders>
          <w:top w:val="nil"/>
          <w:left w:val="nil"/>
          <w:bottom w:val="nil"/>
          <w:right w:val="nil"/>
          <w:insideH w:val="single" w:sz="4" w:space="0" w:color="3D8A49" w:themeColor="accent4" w:themeShade="99"/>
          <w:insideV w:val="nil"/>
        </w:tcBorders>
        <w:shd w:val="clear" w:color="auto" w:fill="3D8A4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8A49" w:themeFill="accent4" w:themeFillShade="99"/>
      </w:tcPr>
    </w:tblStylePr>
    <w:tblStylePr w:type="band1Vert">
      <w:tblPr/>
      <w:tcPr>
        <w:shd w:val="clear" w:color="auto" w:fill="CDE9D2" w:themeFill="accent4" w:themeFillTint="66"/>
      </w:tcPr>
    </w:tblStylePr>
    <w:tblStylePr w:type="band1Horz">
      <w:tblPr/>
      <w:tcPr>
        <w:shd w:val="clear" w:color="auto" w:fill="C1E4C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831F70"/>
    <w:rPr>
      <w:rFonts w:eastAsia="MS Mincho"/>
      <w:color w:val="000000" w:themeColor="text1"/>
      <w:lang w:val="en-GB" w:eastAsia="en-GB"/>
    </w:rPr>
    <w:tblPr>
      <w:tblStyleRowBandSize w:val="1"/>
      <w:tblStyleColBandSize w:val="1"/>
      <w:tblBorders>
        <w:top w:val="single" w:sz="24" w:space="0" w:color="1D1A46" w:themeColor="accent6"/>
        <w:left w:val="single" w:sz="4" w:space="0" w:color="F1AC1E" w:themeColor="accent5"/>
        <w:bottom w:val="single" w:sz="4" w:space="0" w:color="F1AC1E" w:themeColor="accent5"/>
        <w:right w:val="single" w:sz="4" w:space="0" w:color="F1AC1E" w:themeColor="accent5"/>
        <w:insideH w:val="single" w:sz="4" w:space="0" w:color="FFFFFF" w:themeColor="background1"/>
        <w:insideV w:val="single" w:sz="4" w:space="0" w:color="FFFFFF" w:themeColor="background1"/>
      </w:tblBorders>
    </w:tblPr>
    <w:tcPr>
      <w:shd w:val="clear" w:color="auto" w:fill="FDF6E8"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1D1A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6909" w:themeFill="accent5" w:themeFillShade="99"/>
      </w:tcPr>
    </w:tblStylePr>
    <w:tblStylePr w:type="firstCol">
      <w:rPr>
        <w:color w:val="FFFFFF" w:themeColor="background1"/>
      </w:rPr>
      <w:tblPr/>
      <w:tcPr>
        <w:tcBorders>
          <w:top w:val="nil"/>
          <w:left w:val="nil"/>
          <w:bottom w:val="nil"/>
          <w:right w:val="nil"/>
          <w:insideH w:val="single" w:sz="4" w:space="0" w:color="986909" w:themeColor="accent5" w:themeShade="99"/>
          <w:insideV w:val="nil"/>
        </w:tcBorders>
        <w:shd w:val="clear" w:color="auto" w:fill="98690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86909" w:themeFill="accent5" w:themeFillShade="99"/>
      </w:tcPr>
    </w:tblStylePr>
    <w:tblStylePr w:type="band1Vert">
      <w:tblPr/>
      <w:tcPr>
        <w:shd w:val="clear" w:color="auto" w:fill="F9DDA4" w:themeFill="accent5" w:themeFillTint="66"/>
      </w:tcPr>
    </w:tblStylePr>
    <w:tblStylePr w:type="band1Horz">
      <w:tblPr/>
      <w:tcPr>
        <w:shd w:val="clear" w:color="auto" w:fill="F8D58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831F70"/>
    <w:rPr>
      <w:rFonts w:eastAsia="MS Mincho"/>
      <w:color w:val="000000" w:themeColor="text1"/>
      <w:lang w:val="en-GB" w:eastAsia="en-GB"/>
    </w:rPr>
    <w:tblPr>
      <w:tblStyleRowBandSize w:val="1"/>
      <w:tblStyleColBandSize w:val="1"/>
      <w:tblBorders>
        <w:top w:val="single" w:sz="24" w:space="0" w:color="F1AC1E" w:themeColor="accent5"/>
        <w:left w:val="single" w:sz="4" w:space="0" w:color="1D1A46" w:themeColor="accent6"/>
        <w:bottom w:val="single" w:sz="4" w:space="0" w:color="1D1A46" w:themeColor="accent6"/>
        <w:right w:val="single" w:sz="4" w:space="0" w:color="1D1A46" w:themeColor="accent6"/>
        <w:insideH w:val="single" w:sz="4" w:space="0" w:color="FFFFFF" w:themeColor="background1"/>
        <w:insideV w:val="single" w:sz="4" w:space="0" w:color="FFFFFF" w:themeColor="background1"/>
      </w:tblBorders>
    </w:tblPr>
    <w:tcPr>
      <w:shd w:val="clear" w:color="auto" w:fill="E2E1F4"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1AC1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0F29" w:themeFill="accent6" w:themeFillShade="99"/>
      </w:tcPr>
    </w:tblStylePr>
    <w:tblStylePr w:type="firstCol">
      <w:rPr>
        <w:color w:val="FFFFFF" w:themeColor="background1"/>
      </w:rPr>
      <w:tblPr/>
      <w:tcPr>
        <w:tcBorders>
          <w:top w:val="nil"/>
          <w:left w:val="nil"/>
          <w:bottom w:val="nil"/>
          <w:right w:val="nil"/>
          <w:insideH w:val="single" w:sz="4" w:space="0" w:color="110F29" w:themeColor="accent6" w:themeShade="99"/>
          <w:insideV w:val="nil"/>
        </w:tcBorders>
        <w:shd w:val="clear" w:color="auto" w:fill="110F2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10F29" w:themeFill="accent6" w:themeFillShade="99"/>
      </w:tcPr>
    </w:tblStylePr>
    <w:tblStylePr w:type="band1Vert">
      <w:tblPr/>
      <w:tcPr>
        <w:shd w:val="clear" w:color="auto" w:fill="8B86D2" w:themeFill="accent6" w:themeFillTint="66"/>
      </w:tcPr>
    </w:tblStylePr>
    <w:tblStylePr w:type="band1Horz">
      <w:tblPr/>
      <w:tcPr>
        <w:shd w:val="clear" w:color="auto" w:fill="6E68C7"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uiPriority w:val="99"/>
    <w:semiHidden/>
    <w:unhideWhenUsed/>
    <w:rsid w:val="000D6626"/>
    <w:rPr>
      <w:sz w:val="16"/>
      <w:szCs w:val="16"/>
    </w:rPr>
  </w:style>
  <w:style w:type="paragraph" w:styleId="CommentText">
    <w:name w:val="annotation text"/>
    <w:basedOn w:val="Normal"/>
    <w:link w:val="CommentTextChar"/>
    <w:uiPriority w:val="99"/>
    <w:unhideWhenUsed/>
    <w:rsid w:val="000D6626"/>
    <w:rPr>
      <w:szCs w:val="20"/>
      <w:lang w:val="x-none" w:bidi="he-IL"/>
    </w:rPr>
  </w:style>
  <w:style w:type="character" w:customStyle="1" w:styleId="CommentTextChar">
    <w:name w:val="Comment Text Char"/>
    <w:link w:val="CommentText"/>
    <w:uiPriority w:val="99"/>
    <w:rsid w:val="000D6626"/>
    <w:rPr>
      <w:rFonts w:asciiTheme="minorHAnsi" w:hAnsiTheme="minorHAnsi"/>
      <w:lang w:val="x-none" w:bidi="he-IL"/>
    </w:rPr>
  </w:style>
  <w:style w:type="paragraph" w:styleId="CommentSubject">
    <w:name w:val="annotation subject"/>
    <w:basedOn w:val="CommentText"/>
    <w:next w:val="CommentText"/>
    <w:link w:val="CommentSubjectChar"/>
    <w:uiPriority w:val="99"/>
    <w:semiHidden/>
    <w:unhideWhenUsed/>
    <w:rsid w:val="000D6626"/>
    <w:rPr>
      <w:b/>
      <w:bCs/>
    </w:rPr>
  </w:style>
  <w:style w:type="character" w:customStyle="1" w:styleId="CommentSubjectChar">
    <w:name w:val="Comment Subject Char"/>
    <w:link w:val="CommentSubject"/>
    <w:uiPriority w:val="99"/>
    <w:semiHidden/>
    <w:rsid w:val="000D6626"/>
    <w:rPr>
      <w:rFonts w:asciiTheme="minorHAnsi" w:hAnsiTheme="minorHAnsi"/>
      <w:b/>
      <w:bCs/>
      <w:lang w:val="x-none" w:bidi="he-IL"/>
    </w:rPr>
  </w:style>
  <w:style w:type="table" w:styleId="DarkList">
    <w:name w:val="Dark List"/>
    <w:basedOn w:val="TableNormal"/>
    <w:uiPriority w:val="70"/>
    <w:rsid w:val="00831F70"/>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831F70"/>
    <w:rPr>
      <w:rFonts w:eastAsia="MS Mincho"/>
      <w:color w:val="FFFFFF" w:themeColor="background1"/>
      <w:lang w:val="en-GB" w:eastAsia="en-GB"/>
    </w:rPr>
    <w:tblPr>
      <w:tblStyleRowBandSize w:val="1"/>
      <w:tblStyleColBandSize w:val="1"/>
    </w:tblPr>
    <w:tcPr>
      <w:shd w:val="clear" w:color="auto" w:fill="323E48"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1E2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52E3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52E35" w:themeFill="accent1" w:themeFillShade="BF"/>
      </w:tcPr>
    </w:tblStylePr>
    <w:tblStylePr w:type="band1Vert">
      <w:tblPr/>
      <w:tcPr>
        <w:tcBorders>
          <w:top w:val="nil"/>
          <w:left w:val="nil"/>
          <w:bottom w:val="nil"/>
          <w:right w:val="nil"/>
          <w:insideH w:val="nil"/>
          <w:insideV w:val="nil"/>
        </w:tcBorders>
        <w:shd w:val="clear" w:color="auto" w:fill="252E35" w:themeFill="accent1" w:themeFillShade="BF"/>
      </w:tcPr>
    </w:tblStylePr>
    <w:tblStylePr w:type="band1Horz">
      <w:tblPr/>
      <w:tcPr>
        <w:tcBorders>
          <w:top w:val="nil"/>
          <w:left w:val="nil"/>
          <w:bottom w:val="nil"/>
          <w:right w:val="nil"/>
          <w:insideH w:val="nil"/>
          <w:insideV w:val="nil"/>
        </w:tcBorders>
        <w:shd w:val="clear" w:color="auto" w:fill="252E35" w:themeFill="accent1" w:themeFillShade="BF"/>
      </w:tcPr>
    </w:tblStylePr>
  </w:style>
  <w:style w:type="table" w:styleId="DarkList-Accent2">
    <w:name w:val="Dark List Accent 2"/>
    <w:basedOn w:val="TableNormal"/>
    <w:uiPriority w:val="70"/>
    <w:rsid w:val="00831F70"/>
    <w:rPr>
      <w:rFonts w:eastAsia="MS Mincho"/>
      <w:color w:val="FFFFFF" w:themeColor="background1"/>
      <w:lang w:val="en-GB" w:eastAsia="en-GB"/>
    </w:rPr>
    <w:tblPr>
      <w:tblStyleRowBandSize w:val="1"/>
      <w:tblStyleColBandSize w:val="1"/>
    </w:tblPr>
    <w:tcPr>
      <w:shd w:val="clear" w:color="auto" w:fill="30AEB6"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565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4818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48188" w:themeFill="accent2" w:themeFillShade="BF"/>
      </w:tcPr>
    </w:tblStylePr>
    <w:tblStylePr w:type="band1Vert">
      <w:tblPr/>
      <w:tcPr>
        <w:tcBorders>
          <w:top w:val="nil"/>
          <w:left w:val="nil"/>
          <w:bottom w:val="nil"/>
          <w:right w:val="nil"/>
          <w:insideH w:val="nil"/>
          <w:insideV w:val="nil"/>
        </w:tcBorders>
        <w:shd w:val="clear" w:color="auto" w:fill="248188" w:themeFill="accent2" w:themeFillShade="BF"/>
      </w:tcPr>
    </w:tblStylePr>
    <w:tblStylePr w:type="band1Horz">
      <w:tblPr/>
      <w:tcPr>
        <w:tcBorders>
          <w:top w:val="nil"/>
          <w:left w:val="nil"/>
          <w:bottom w:val="nil"/>
          <w:right w:val="nil"/>
          <w:insideH w:val="nil"/>
          <w:insideV w:val="nil"/>
        </w:tcBorders>
        <w:shd w:val="clear" w:color="auto" w:fill="248188" w:themeFill="accent2" w:themeFillShade="BF"/>
      </w:tcPr>
    </w:tblStylePr>
  </w:style>
  <w:style w:type="table" w:styleId="DarkList-Accent3">
    <w:name w:val="Dark List Accent 3"/>
    <w:basedOn w:val="TableNormal"/>
    <w:uiPriority w:val="70"/>
    <w:rsid w:val="00831F70"/>
    <w:rPr>
      <w:rFonts w:eastAsia="MS Mincho"/>
      <w:color w:val="FFFFFF" w:themeColor="background1"/>
      <w:lang w:val="en-GB" w:eastAsia="en-GB"/>
    </w:rPr>
    <w:tblPr>
      <w:tblStyleRowBandSize w:val="1"/>
      <w:tblStyleColBandSize w:val="1"/>
    </w:tblPr>
    <w:tcPr>
      <w:shd w:val="clear" w:color="auto" w:fill="DE4326"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20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301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3019" w:themeFill="accent3" w:themeFillShade="BF"/>
      </w:tcPr>
    </w:tblStylePr>
    <w:tblStylePr w:type="band1Vert">
      <w:tblPr/>
      <w:tcPr>
        <w:tcBorders>
          <w:top w:val="nil"/>
          <w:left w:val="nil"/>
          <w:bottom w:val="nil"/>
          <w:right w:val="nil"/>
          <w:insideH w:val="nil"/>
          <w:insideV w:val="nil"/>
        </w:tcBorders>
        <w:shd w:val="clear" w:color="auto" w:fill="A83019" w:themeFill="accent3" w:themeFillShade="BF"/>
      </w:tcPr>
    </w:tblStylePr>
    <w:tblStylePr w:type="band1Horz">
      <w:tblPr/>
      <w:tcPr>
        <w:tcBorders>
          <w:top w:val="nil"/>
          <w:left w:val="nil"/>
          <w:bottom w:val="nil"/>
          <w:right w:val="nil"/>
          <w:insideH w:val="nil"/>
          <w:insideV w:val="nil"/>
        </w:tcBorders>
        <w:shd w:val="clear" w:color="auto" w:fill="A83019" w:themeFill="accent3" w:themeFillShade="BF"/>
      </w:tcPr>
    </w:tblStylePr>
  </w:style>
  <w:style w:type="table" w:styleId="DarkList-Accent4">
    <w:name w:val="Dark List Accent 4"/>
    <w:basedOn w:val="TableNormal"/>
    <w:uiPriority w:val="70"/>
    <w:rsid w:val="00831F70"/>
    <w:rPr>
      <w:rFonts w:eastAsia="MS Mincho"/>
      <w:color w:val="FFFFFF" w:themeColor="background1"/>
      <w:lang w:val="en-GB" w:eastAsia="en-GB"/>
    </w:rPr>
    <w:tblPr>
      <w:tblStyleRowBandSize w:val="1"/>
      <w:tblStyleColBandSize w:val="1"/>
    </w:tblPr>
    <w:tcPr>
      <w:shd w:val="clear" w:color="auto" w:fill="84C98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733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AD5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AD5B" w:themeFill="accent4" w:themeFillShade="BF"/>
      </w:tcPr>
    </w:tblStylePr>
    <w:tblStylePr w:type="band1Vert">
      <w:tblPr/>
      <w:tcPr>
        <w:tcBorders>
          <w:top w:val="nil"/>
          <w:left w:val="nil"/>
          <w:bottom w:val="nil"/>
          <w:right w:val="nil"/>
          <w:insideH w:val="nil"/>
          <w:insideV w:val="nil"/>
        </w:tcBorders>
        <w:shd w:val="clear" w:color="auto" w:fill="4CAD5B" w:themeFill="accent4" w:themeFillShade="BF"/>
      </w:tcPr>
    </w:tblStylePr>
    <w:tblStylePr w:type="band1Horz">
      <w:tblPr/>
      <w:tcPr>
        <w:tcBorders>
          <w:top w:val="nil"/>
          <w:left w:val="nil"/>
          <w:bottom w:val="nil"/>
          <w:right w:val="nil"/>
          <w:insideH w:val="nil"/>
          <w:insideV w:val="nil"/>
        </w:tcBorders>
        <w:shd w:val="clear" w:color="auto" w:fill="4CAD5B" w:themeFill="accent4" w:themeFillShade="BF"/>
      </w:tcPr>
    </w:tblStylePr>
  </w:style>
  <w:style w:type="table" w:styleId="DarkList-Accent5">
    <w:name w:val="Dark List Accent 5"/>
    <w:basedOn w:val="TableNormal"/>
    <w:uiPriority w:val="70"/>
    <w:rsid w:val="00831F70"/>
    <w:rPr>
      <w:rFonts w:eastAsia="MS Mincho"/>
      <w:color w:val="FFFFFF" w:themeColor="background1"/>
      <w:lang w:val="en-GB" w:eastAsia="en-GB"/>
    </w:rPr>
    <w:tblPr>
      <w:tblStyleRowBandSize w:val="1"/>
      <w:tblStyleColBandSize w:val="1"/>
    </w:tblPr>
    <w:tcPr>
      <w:shd w:val="clear" w:color="auto" w:fill="F1AC1E"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570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E830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E830C" w:themeFill="accent5" w:themeFillShade="BF"/>
      </w:tcPr>
    </w:tblStylePr>
    <w:tblStylePr w:type="band1Vert">
      <w:tblPr/>
      <w:tcPr>
        <w:tcBorders>
          <w:top w:val="nil"/>
          <w:left w:val="nil"/>
          <w:bottom w:val="nil"/>
          <w:right w:val="nil"/>
          <w:insideH w:val="nil"/>
          <w:insideV w:val="nil"/>
        </w:tcBorders>
        <w:shd w:val="clear" w:color="auto" w:fill="BE830C" w:themeFill="accent5" w:themeFillShade="BF"/>
      </w:tcPr>
    </w:tblStylePr>
    <w:tblStylePr w:type="band1Horz">
      <w:tblPr/>
      <w:tcPr>
        <w:tcBorders>
          <w:top w:val="nil"/>
          <w:left w:val="nil"/>
          <w:bottom w:val="nil"/>
          <w:right w:val="nil"/>
          <w:insideH w:val="nil"/>
          <w:insideV w:val="nil"/>
        </w:tcBorders>
        <w:shd w:val="clear" w:color="auto" w:fill="BE830C" w:themeFill="accent5" w:themeFillShade="BF"/>
      </w:tcPr>
    </w:tblStylePr>
  </w:style>
  <w:style w:type="table" w:styleId="DarkList-Accent6">
    <w:name w:val="Dark List Accent 6"/>
    <w:basedOn w:val="TableNormal"/>
    <w:uiPriority w:val="70"/>
    <w:rsid w:val="00831F70"/>
    <w:rPr>
      <w:rFonts w:eastAsia="MS Mincho"/>
      <w:color w:val="FFFFFF" w:themeColor="background1"/>
      <w:lang w:val="en-GB" w:eastAsia="en-GB"/>
    </w:rPr>
    <w:tblPr>
      <w:tblStyleRowBandSize w:val="1"/>
      <w:tblStyleColBandSize w:val="1"/>
    </w:tblPr>
    <w:tcPr>
      <w:shd w:val="clear" w:color="auto" w:fill="1D1A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0D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5133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51334" w:themeFill="accent6" w:themeFillShade="BF"/>
      </w:tcPr>
    </w:tblStylePr>
    <w:tblStylePr w:type="band1Vert">
      <w:tblPr/>
      <w:tcPr>
        <w:tcBorders>
          <w:top w:val="nil"/>
          <w:left w:val="nil"/>
          <w:bottom w:val="nil"/>
          <w:right w:val="nil"/>
          <w:insideH w:val="nil"/>
          <w:insideV w:val="nil"/>
        </w:tcBorders>
        <w:shd w:val="clear" w:color="auto" w:fill="151334" w:themeFill="accent6" w:themeFillShade="BF"/>
      </w:tcPr>
    </w:tblStylePr>
    <w:tblStylePr w:type="band1Horz">
      <w:tblPr/>
      <w:tcPr>
        <w:tcBorders>
          <w:top w:val="nil"/>
          <w:left w:val="nil"/>
          <w:bottom w:val="nil"/>
          <w:right w:val="nil"/>
          <w:insideH w:val="nil"/>
          <w:insideV w:val="nil"/>
        </w:tcBorders>
        <w:shd w:val="clear" w:color="auto" w:fill="151334" w:themeFill="accent6" w:themeFillShade="BF"/>
      </w:tcPr>
    </w:tblStylePr>
  </w:style>
  <w:style w:type="paragraph" w:styleId="Date">
    <w:name w:val="Date"/>
    <w:basedOn w:val="Normal"/>
    <w:next w:val="Normal"/>
    <w:link w:val="DateChar"/>
    <w:uiPriority w:val="99"/>
    <w:semiHidden/>
    <w:unhideWhenUsed/>
    <w:rsid w:val="000D6626"/>
  </w:style>
  <w:style w:type="character" w:customStyle="1" w:styleId="DateChar">
    <w:name w:val="Date Char"/>
    <w:basedOn w:val="DefaultParagraphFont"/>
    <w:link w:val="Date"/>
    <w:uiPriority w:val="99"/>
    <w:semiHidden/>
    <w:rsid w:val="000D6626"/>
    <w:rPr>
      <w:rFonts w:asciiTheme="minorHAnsi" w:hAnsiTheme="minorHAnsi"/>
      <w:sz w:val="22"/>
      <w:szCs w:val="24"/>
    </w:rPr>
  </w:style>
  <w:style w:type="paragraph" w:styleId="DocumentMap">
    <w:name w:val="Document Map"/>
    <w:basedOn w:val="Normal"/>
    <w:link w:val="DocumentMapChar"/>
    <w:uiPriority w:val="99"/>
    <w:semiHidden/>
    <w:unhideWhenUsed/>
    <w:rsid w:val="000D6626"/>
    <w:rPr>
      <w:rFonts w:ascii="Tahoma" w:hAnsi="Tahoma" w:cs="Segoe UI"/>
      <w:sz w:val="16"/>
      <w:szCs w:val="16"/>
      <w:lang w:eastAsia="x-none" w:bidi="he-IL"/>
    </w:rPr>
  </w:style>
  <w:style w:type="character" w:customStyle="1" w:styleId="DocumentMapChar">
    <w:name w:val="Document Map Char"/>
    <w:link w:val="DocumentMap"/>
    <w:uiPriority w:val="99"/>
    <w:semiHidden/>
    <w:rsid w:val="000D6626"/>
    <w:rPr>
      <w:rFonts w:ascii="Tahoma" w:hAnsi="Tahoma" w:cs="Segoe UI"/>
      <w:sz w:val="16"/>
      <w:szCs w:val="16"/>
      <w:lang w:eastAsia="x-none" w:bidi="he-IL"/>
    </w:rPr>
  </w:style>
  <w:style w:type="paragraph" w:styleId="E-mailSignature">
    <w:name w:val="E-mail Signature"/>
    <w:basedOn w:val="Normal"/>
    <w:link w:val="E-mailSignatureChar"/>
    <w:uiPriority w:val="99"/>
    <w:semiHidden/>
    <w:unhideWhenUsed/>
    <w:rsid w:val="000D6626"/>
  </w:style>
  <w:style w:type="character" w:customStyle="1" w:styleId="E-mailSignatureChar">
    <w:name w:val="E-mail Signature Char"/>
    <w:basedOn w:val="DefaultParagraphFont"/>
    <w:link w:val="E-mailSignature"/>
    <w:uiPriority w:val="99"/>
    <w:semiHidden/>
    <w:rsid w:val="000D6626"/>
    <w:rPr>
      <w:rFonts w:asciiTheme="minorHAnsi" w:hAnsiTheme="minorHAnsi"/>
      <w:sz w:val="22"/>
      <w:szCs w:val="24"/>
    </w:rPr>
  </w:style>
  <w:style w:type="character" w:styleId="Emphasis">
    <w:name w:val="Emphasis"/>
    <w:basedOn w:val="DefaultParagraphFont"/>
    <w:uiPriority w:val="20"/>
    <w:semiHidden/>
    <w:qFormat/>
    <w:rsid w:val="000D6626"/>
    <w:rPr>
      <w:i/>
      <w:iCs/>
    </w:rPr>
  </w:style>
  <w:style w:type="character" w:styleId="EndnoteReference">
    <w:name w:val="endnote reference"/>
    <w:basedOn w:val="DefaultParagraphFont"/>
    <w:uiPriority w:val="99"/>
    <w:semiHidden/>
    <w:unhideWhenUsed/>
    <w:rsid w:val="000D6626"/>
    <w:rPr>
      <w:vertAlign w:val="superscript"/>
    </w:rPr>
  </w:style>
  <w:style w:type="paragraph" w:styleId="EndnoteText">
    <w:name w:val="endnote text"/>
    <w:basedOn w:val="Normal"/>
    <w:link w:val="EndnoteTextChar"/>
    <w:uiPriority w:val="99"/>
    <w:semiHidden/>
    <w:unhideWhenUsed/>
    <w:rsid w:val="000D6626"/>
    <w:rPr>
      <w:szCs w:val="20"/>
    </w:rPr>
  </w:style>
  <w:style w:type="character" w:customStyle="1" w:styleId="EndnoteTextChar">
    <w:name w:val="Endnote Text Char"/>
    <w:basedOn w:val="DefaultParagraphFont"/>
    <w:link w:val="EndnoteText"/>
    <w:uiPriority w:val="99"/>
    <w:semiHidden/>
    <w:rsid w:val="000D6626"/>
    <w:rPr>
      <w:rFonts w:asciiTheme="minorHAnsi" w:hAnsiTheme="minorHAnsi"/>
    </w:rPr>
  </w:style>
  <w:style w:type="paragraph" w:styleId="EnvelopeAddress">
    <w:name w:val="envelope address"/>
    <w:basedOn w:val="Normal"/>
    <w:uiPriority w:val="99"/>
    <w:semiHidden/>
    <w:unhideWhenUsed/>
    <w:rsid w:val="000D6626"/>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0D6626"/>
    <w:rPr>
      <w:rFonts w:asciiTheme="majorHAnsi" w:eastAsiaTheme="majorEastAsia" w:hAnsiTheme="majorHAnsi" w:cstheme="majorBidi"/>
      <w:szCs w:val="20"/>
    </w:rPr>
  </w:style>
  <w:style w:type="character" w:styleId="FollowedHyperlink">
    <w:name w:val="FollowedHyperlink"/>
    <w:semiHidden/>
    <w:rsid w:val="000D6626"/>
    <w:rPr>
      <w:color w:val="800080"/>
      <w:u w:val="single"/>
    </w:rPr>
  </w:style>
  <w:style w:type="paragraph" w:styleId="Footer">
    <w:name w:val="footer"/>
    <w:link w:val="FooterChar"/>
    <w:uiPriority w:val="99"/>
    <w:semiHidden/>
    <w:rsid w:val="00B46BAB"/>
    <w:pPr>
      <w:adjustRightInd w:val="0"/>
      <w:snapToGrid w:val="0"/>
      <w:spacing w:line="280" w:lineRule="exact"/>
    </w:pPr>
    <w:rPr>
      <w:rFonts w:eastAsiaTheme="minorEastAsia" w:cs="Arial"/>
      <w:szCs w:val="22"/>
      <w:lang w:eastAsia="x-none" w:bidi="he-IL"/>
    </w:rPr>
  </w:style>
  <w:style w:type="character" w:customStyle="1" w:styleId="FooterChar">
    <w:name w:val="Footer Char"/>
    <w:link w:val="Footer"/>
    <w:uiPriority w:val="99"/>
    <w:semiHidden/>
    <w:rsid w:val="00674100"/>
    <w:rPr>
      <w:rFonts w:eastAsiaTheme="minorEastAsia" w:cs="Arial"/>
      <w:szCs w:val="22"/>
      <w:lang w:eastAsia="x-none" w:bidi="he-IL"/>
    </w:rPr>
  </w:style>
  <w:style w:type="character" w:styleId="FootnoteReference">
    <w:name w:val="footnote reference"/>
    <w:basedOn w:val="DefaultParagraphFont"/>
    <w:uiPriority w:val="99"/>
    <w:unhideWhenUsed/>
    <w:rsid w:val="000D6626"/>
    <w:rPr>
      <w:vertAlign w:val="superscript"/>
    </w:rPr>
  </w:style>
  <w:style w:type="paragraph" w:styleId="FootnoteText">
    <w:name w:val="footnote text"/>
    <w:basedOn w:val="Normal"/>
    <w:link w:val="FootnoteTextChar"/>
    <w:uiPriority w:val="99"/>
    <w:unhideWhenUsed/>
    <w:rsid w:val="000D6626"/>
    <w:rPr>
      <w:szCs w:val="20"/>
    </w:rPr>
  </w:style>
  <w:style w:type="character" w:customStyle="1" w:styleId="FootnoteTextChar">
    <w:name w:val="Footnote Text Char"/>
    <w:basedOn w:val="DefaultParagraphFont"/>
    <w:link w:val="FootnoteText"/>
    <w:uiPriority w:val="99"/>
    <w:rsid w:val="000D6626"/>
    <w:rPr>
      <w:rFonts w:asciiTheme="minorHAnsi" w:hAnsiTheme="minorHAnsi"/>
    </w:rPr>
  </w:style>
  <w:style w:type="paragraph" w:styleId="Header">
    <w:name w:val="header"/>
    <w:link w:val="HeaderChar"/>
    <w:uiPriority w:val="99"/>
    <w:semiHidden/>
    <w:rsid w:val="0016211E"/>
    <w:pPr>
      <w:adjustRightInd w:val="0"/>
      <w:snapToGrid w:val="0"/>
      <w:spacing w:line="300" w:lineRule="atLeast"/>
    </w:pPr>
    <w:rPr>
      <w:rFonts w:asciiTheme="majorHAnsi" w:eastAsiaTheme="minorEastAsia" w:hAnsiTheme="majorHAnsi" w:cs="Arial"/>
      <w:szCs w:val="22"/>
      <w:lang w:eastAsia="x-none" w:bidi="he-IL"/>
    </w:rPr>
  </w:style>
  <w:style w:type="character" w:customStyle="1" w:styleId="HeaderChar">
    <w:name w:val="Header Char"/>
    <w:link w:val="Header"/>
    <w:uiPriority w:val="99"/>
    <w:semiHidden/>
    <w:rsid w:val="00674100"/>
    <w:rPr>
      <w:rFonts w:asciiTheme="majorHAnsi" w:eastAsiaTheme="minorEastAsia" w:hAnsiTheme="majorHAnsi" w:cs="Arial"/>
      <w:szCs w:val="22"/>
      <w:lang w:eastAsia="x-none" w:bidi="he-IL"/>
    </w:rPr>
  </w:style>
  <w:style w:type="character" w:styleId="HTMLAcronym">
    <w:name w:val="HTML Acronym"/>
    <w:basedOn w:val="DefaultParagraphFont"/>
    <w:uiPriority w:val="99"/>
    <w:semiHidden/>
    <w:unhideWhenUsed/>
    <w:rsid w:val="000D6626"/>
  </w:style>
  <w:style w:type="paragraph" w:styleId="HTMLAddress">
    <w:name w:val="HTML Address"/>
    <w:basedOn w:val="Normal"/>
    <w:link w:val="HTMLAddressChar"/>
    <w:uiPriority w:val="99"/>
    <w:semiHidden/>
    <w:unhideWhenUsed/>
    <w:rsid w:val="000D6626"/>
    <w:rPr>
      <w:i/>
      <w:iCs/>
    </w:rPr>
  </w:style>
  <w:style w:type="character" w:customStyle="1" w:styleId="HTMLAddressChar">
    <w:name w:val="HTML Address Char"/>
    <w:basedOn w:val="DefaultParagraphFont"/>
    <w:link w:val="HTMLAddress"/>
    <w:uiPriority w:val="99"/>
    <w:semiHidden/>
    <w:rsid w:val="000D6626"/>
    <w:rPr>
      <w:rFonts w:asciiTheme="minorHAnsi" w:hAnsiTheme="minorHAnsi"/>
      <w:i/>
      <w:iCs/>
      <w:sz w:val="22"/>
      <w:szCs w:val="24"/>
    </w:rPr>
  </w:style>
  <w:style w:type="character" w:styleId="HTMLCite">
    <w:name w:val="HTML Cite"/>
    <w:basedOn w:val="DefaultParagraphFont"/>
    <w:uiPriority w:val="99"/>
    <w:semiHidden/>
    <w:unhideWhenUsed/>
    <w:rsid w:val="000D6626"/>
    <w:rPr>
      <w:i/>
      <w:iCs/>
    </w:rPr>
  </w:style>
  <w:style w:type="character" w:styleId="HTMLCode">
    <w:name w:val="HTML Code"/>
    <w:basedOn w:val="DefaultParagraphFont"/>
    <w:uiPriority w:val="99"/>
    <w:semiHidden/>
    <w:unhideWhenUsed/>
    <w:rsid w:val="000D6626"/>
    <w:rPr>
      <w:rFonts w:ascii="Consolas" w:hAnsi="Consolas" w:cs="Consolas"/>
      <w:sz w:val="20"/>
      <w:szCs w:val="20"/>
    </w:rPr>
  </w:style>
  <w:style w:type="character" w:styleId="HTMLDefinition">
    <w:name w:val="HTML Definition"/>
    <w:basedOn w:val="DefaultParagraphFont"/>
    <w:uiPriority w:val="99"/>
    <w:semiHidden/>
    <w:unhideWhenUsed/>
    <w:rsid w:val="000D6626"/>
    <w:rPr>
      <w:i/>
      <w:iCs/>
    </w:rPr>
  </w:style>
  <w:style w:type="character" w:styleId="HTMLKeyboard">
    <w:name w:val="HTML Keyboard"/>
    <w:basedOn w:val="DefaultParagraphFont"/>
    <w:uiPriority w:val="99"/>
    <w:semiHidden/>
    <w:unhideWhenUsed/>
    <w:rsid w:val="000D6626"/>
    <w:rPr>
      <w:rFonts w:ascii="Consolas" w:hAnsi="Consolas" w:cs="Consolas"/>
      <w:sz w:val="20"/>
      <w:szCs w:val="20"/>
    </w:rPr>
  </w:style>
  <w:style w:type="paragraph" w:styleId="HTMLPreformatted">
    <w:name w:val="HTML Preformatted"/>
    <w:basedOn w:val="Normal"/>
    <w:link w:val="HTMLPreformattedChar"/>
    <w:uiPriority w:val="99"/>
    <w:semiHidden/>
    <w:unhideWhenUsed/>
    <w:rsid w:val="000D6626"/>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0D6626"/>
    <w:rPr>
      <w:rFonts w:ascii="Consolas" w:hAnsi="Consolas" w:cs="Consolas"/>
    </w:rPr>
  </w:style>
  <w:style w:type="character" w:styleId="HTMLSample">
    <w:name w:val="HTML Sample"/>
    <w:basedOn w:val="DefaultParagraphFont"/>
    <w:uiPriority w:val="99"/>
    <w:semiHidden/>
    <w:unhideWhenUsed/>
    <w:rsid w:val="000D6626"/>
    <w:rPr>
      <w:rFonts w:ascii="Consolas" w:hAnsi="Consolas" w:cs="Consolas"/>
      <w:sz w:val="24"/>
      <w:szCs w:val="24"/>
    </w:rPr>
  </w:style>
  <w:style w:type="character" w:styleId="HTMLTypewriter">
    <w:name w:val="HTML Typewriter"/>
    <w:basedOn w:val="DefaultParagraphFont"/>
    <w:uiPriority w:val="99"/>
    <w:semiHidden/>
    <w:unhideWhenUsed/>
    <w:rsid w:val="000D6626"/>
    <w:rPr>
      <w:rFonts w:ascii="Consolas" w:hAnsi="Consolas" w:cs="Consolas"/>
      <w:sz w:val="20"/>
      <w:szCs w:val="20"/>
    </w:rPr>
  </w:style>
  <w:style w:type="character" w:styleId="HTMLVariable">
    <w:name w:val="HTML Variable"/>
    <w:basedOn w:val="DefaultParagraphFont"/>
    <w:uiPriority w:val="99"/>
    <w:semiHidden/>
    <w:unhideWhenUsed/>
    <w:rsid w:val="000D6626"/>
    <w:rPr>
      <w:i/>
      <w:iCs/>
    </w:rPr>
  </w:style>
  <w:style w:type="character" w:styleId="Hyperlink">
    <w:name w:val="Hyperlink"/>
    <w:uiPriority w:val="99"/>
    <w:rsid w:val="00076E0F"/>
    <w:rPr>
      <w:color w:val="F1AC1E" w:themeColor="accent5"/>
      <w:u w:val="single"/>
    </w:rPr>
  </w:style>
  <w:style w:type="paragraph" w:styleId="Index1">
    <w:name w:val="index 1"/>
    <w:basedOn w:val="Normal"/>
    <w:next w:val="Normal"/>
    <w:autoRedefine/>
    <w:uiPriority w:val="99"/>
    <w:semiHidden/>
    <w:unhideWhenUsed/>
    <w:rsid w:val="000D6626"/>
    <w:pPr>
      <w:ind w:left="220" w:hanging="220"/>
    </w:pPr>
  </w:style>
  <w:style w:type="paragraph" w:styleId="Index2">
    <w:name w:val="index 2"/>
    <w:basedOn w:val="Normal"/>
    <w:next w:val="Normal"/>
    <w:autoRedefine/>
    <w:uiPriority w:val="99"/>
    <w:semiHidden/>
    <w:unhideWhenUsed/>
    <w:rsid w:val="000D6626"/>
    <w:pPr>
      <w:ind w:left="440" w:hanging="220"/>
    </w:pPr>
  </w:style>
  <w:style w:type="paragraph" w:styleId="Index3">
    <w:name w:val="index 3"/>
    <w:basedOn w:val="Normal"/>
    <w:next w:val="Normal"/>
    <w:autoRedefine/>
    <w:uiPriority w:val="99"/>
    <w:semiHidden/>
    <w:unhideWhenUsed/>
    <w:rsid w:val="000D6626"/>
    <w:pPr>
      <w:ind w:left="660" w:hanging="220"/>
    </w:pPr>
  </w:style>
  <w:style w:type="paragraph" w:styleId="Index4">
    <w:name w:val="index 4"/>
    <w:basedOn w:val="Normal"/>
    <w:next w:val="Normal"/>
    <w:autoRedefine/>
    <w:uiPriority w:val="99"/>
    <w:semiHidden/>
    <w:unhideWhenUsed/>
    <w:rsid w:val="000D6626"/>
    <w:pPr>
      <w:ind w:left="880" w:hanging="220"/>
    </w:pPr>
  </w:style>
  <w:style w:type="paragraph" w:styleId="Index5">
    <w:name w:val="index 5"/>
    <w:basedOn w:val="Normal"/>
    <w:next w:val="Normal"/>
    <w:autoRedefine/>
    <w:uiPriority w:val="99"/>
    <w:semiHidden/>
    <w:unhideWhenUsed/>
    <w:rsid w:val="000D6626"/>
    <w:pPr>
      <w:ind w:left="1100" w:hanging="220"/>
    </w:pPr>
  </w:style>
  <w:style w:type="paragraph" w:styleId="Index6">
    <w:name w:val="index 6"/>
    <w:basedOn w:val="Normal"/>
    <w:next w:val="Normal"/>
    <w:autoRedefine/>
    <w:uiPriority w:val="99"/>
    <w:semiHidden/>
    <w:unhideWhenUsed/>
    <w:rsid w:val="000D6626"/>
    <w:pPr>
      <w:ind w:left="1320" w:hanging="220"/>
    </w:pPr>
  </w:style>
  <w:style w:type="paragraph" w:styleId="Index7">
    <w:name w:val="index 7"/>
    <w:basedOn w:val="Normal"/>
    <w:next w:val="Normal"/>
    <w:autoRedefine/>
    <w:uiPriority w:val="99"/>
    <w:semiHidden/>
    <w:unhideWhenUsed/>
    <w:rsid w:val="000D6626"/>
    <w:pPr>
      <w:ind w:left="1540" w:hanging="220"/>
    </w:pPr>
  </w:style>
  <w:style w:type="paragraph" w:styleId="Index8">
    <w:name w:val="index 8"/>
    <w:basedOn w:val="Normal"/>
    <w:next w:val="Normal"/>
    <w:autoRedefine/>
    <w:uiPriority w:val="99"/>
    <w:semiHidden/>
    <w:unhideWhenUsed/>
    <w:rsid w:val="000D6626"/>
    <w:pPr>
      <w:ind w:left="1760" w:hanging="220"/>
    </w:pPr>
  </w:style>
  <w:style w:type="paragraph" w:styleId="Index9">
    <w:name w:val="index 9"/>
    <w:basedOn w:val="Normal"/>
    <w:next w:val="Normal"/>
    <w:autoRedefine/>
    <w:uiPriority w:val="99"/>
    <w:semiHidden/>
    <w:unhideWhenUsed/>
    <w:rsid w:val="000D6626"/>
    <w:pPr>
      <w:ind w:left="1980" w:hanging="220"/>
    </w:pPr>
  </w:style>
  <w:style w:type="paragraph" w:styleId="IndexHeading">
    <w:name w:val="index heading"/>
    <w:basedOn w:val="Normal"/>
    <w:next w:val="Index1"/>
    <w:uiPriority w:val="99"/>
    <w:semiHidden/>
    <w:unhideWhenUsed/>
    <w:rsid w:val="000D6626"/>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D6626"/>
    <w:rPr>
      <w:b/>
      <w:bCs/>
      <w:i/>
      <w:iCs/>
      <w:color w:val="323E48" w:themeColor="accent1"/>
    </w:rPr>
  </w:style>
  <w:style w:type="paragraph" w:styleId="IntenseQuote">
    <w:name w:val="Intense Quote"/>
    <w:basedOn w:val="Normal"/>
    <w:next w:val="Normal"/>
    <w:link w:val="IntenseQuoteChar"/>
    <w:uiPriority w:val="30"/>
    <w:semiHidden/>
    <w:qFormat/>
    <w:rsid w:val="000D6626"/>
    <w:pPr>
      <w:pBdr>
        <w:bottom w:val="single" w:sz="4" w:space="4" w:color="323E48" w:themeColor="accent1"/>
      </w:pBdr>
      <w:spacing w:before="200" w:after="280"/>
      <w:ind w:left="936" w:right="936"/>
    </w:pPr>
    <w:rPr>
      <w:b/>
      <w:bCs/>
      <w:i/>
      <w:iCs/>
      <w:color w:val="323E48" w:themeColor="accent1"/>
    </w:rPr>
  </w:style>
  <w:style w:type="character" w:customStyle="1" w:styleId="IntenseQuoteChar">
    <w:name w:val="Intense Quote Char"/>
    <w:basedOn w:val="DefaultParagraphFont"/>
    <w:link w:val="IntenseQuote"/>
    <w:uiPriority w:val="30"/>
    <w:semiHidden/>
    <w:rsid w:val="000D6626"/>
    <w:rPr>
      <w:rFonts w:asciiTheme="minorHAnsi" w:hAnsiTheme="minorHAnsi"/>
      <w:b/>
      <w:bCs/>
      <w:i/>
      <w:iCs/>
      <w:color w:val="323E48" w:themeColor="accent1"/>
      <w:sz w:val="22"/>
      <w:szCs w:val="24"/>
    </w:rPr>
  </w:style>
  <w:style w:type="character" w:styleId="IntenseReference">
    <w:name w:val="Intense Reference"/>
    <w:basedOn w:val="DefaultParagraphFont"/>
    <w:uiPriority w:val="32"/>
    <w:semiHidden/>
    <w:qFormat/>
    <w:rsid w:val="000D6626"/>
    <w:rPr>
      <w:b/>
      <w:bCs/>
      <w:smallCaps/>
      <w:color w:val="30AEB6" w:themeColor="accent2"/>
      <w:spacing w:val="5"/>
      <w:u w:val="single"/>
    </w:rPr>
  </w:style>
  <w:style w:type="table" w:styleId="LightGrid">
    <w:name w:val="Light Grid"/>
    <w:basedOn w:val="TableNormal"/>
    <w:uiPriority w:val="62"/>
    <w:rsid w:val="00831F70"/>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31F70"/>
    <w:rPr>
      <w:rFonts w:eastAsia="MS Mincho"/>
      <w:lang w:val="en-GB" w:eastAsia="en-GB"/>
    </w:rPr>
    <w:tblPr>
      <w:tblStyleRowBandSize w:val="1"/>
      <w:tblStyleColBandSize w:val="1"/>
      <w:tblBorders>
        <w:top w:val="single" w:sz="8" w:space="0" w:color="323E48" w:themeColor="accent1"/>
        <w:left w:val="single" w:sz="8" w:space="0" w:color="323E48" w:themeColor="accent1"/>
        <w:bottom w:val="single" w:sz="8" w:space="0" w:color="323E48" w:themeColor="accent1"/>
        <w:right w:val="single" w:sz="8" w:space="0" w:color="323E48" w:themeColor="accent1"/>
        <w:insideH w:val="single" w:sz="8" w:space="0" w:color="323E48" w:themeColor="accent1"/>
        <w:insideV w:val="single" w:sz="8" w:space="0" w:color="323E48"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23E48" w:themeColor="accent1"/>
          <w:left w:val="single" w:sz="8" w:space="0" w:color="323E48" w:themeColor="accent1"/>
          <w:bottom w:val="single" w:sz="18" w:space="0" w:color="323E48" w:themeColor="accent1"/>
          <w:right w:val="single" w:sz="8" w:space="0" w:color="323E48" w:themeColor="accent1"/>
          <w:insideH w:val="nil"/>
          <w:insideV w:val="single" w:sz="8" w:space="0" w:color="323E4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E48" w:themeColor="accent1"/>
          <w:left w:val="single" w:sz="8" w:space="0" w:color="323E48" w:themeColor="accent1"/>
          <w:bottom w:val="single" w:sz="8" w:space="0" w:color="323E48" w:themeColor="accent1"/>
          <w:right w:val="single" w:sz="8" w:space="0" w:color="323E48" w:themeColor="accent1"/>
          <w:insideH w:val="nil"/>
          <w:insideV w:val="single" w:sz="8" w:space="0" w:color="323E4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E48" w:themeColor="accent1"/>
          <w:left w:val="single" w:sz="8" w:space="0" w:color="323E48" w:themeColor="accent1"/>
          <w:bottom w:val="single" w:sz="8" w:space="0" w:color="323E48" w:themeColor="accent1"/>
          <w:right w:val="single" w:sz="8" w:space="0" w:color="323E48" w:themeColor="accent1"/>
        </w:tcBorders>
      </w:tcPr>
    </w:tblStylePr>
    <w:tblStylePr w:type="band1Vert">
      <w:tblPr/>
      <w:tcPr>
        <w:tcBorders>
          <w:top w:val="single" w:sz="8" w:space="0" w:color="323E48" w:themeColor="accent1"/>
          <w:left w:val="single" w:sz="8" w:space="0" w:color="323E48" w:themeColor="accent1"/>
          <w:bottom w:val="single" w:sz="8" w:space="0" w:color="323E48" w:themeColor="accent1"/>
          <w:right w:val="single" w:sz="8" w:space="0" w:color="323E48" w:themeColor="accent1"/>
        </w:tcBorders>
        <w:shd w:val="clear" w:color="auto" w:fill="C6CFD7" w:themeFill="accent1" w:themeFillTint="3F"/>
      </w:tcPr>
    </w:tblStylePr>
    <w:tblStylePr w:type="band1Horz">
      <w:tblPr/>
      <w:tcPr>
        <w:tcBorders>
          <w:top w:val="single" w:sz="8" w:space="0" w:color="323E48" w:themeColor="accent1"/>
          <w:left w:val="single" w:sz="8" w:space="0" w:color="323E48" w:themeColor="accent1"/>
          <w:bottom w:val="single" w:sz="8" w:space="0" w:color="323E48" w:themeColor="accent1"/>
          <w:right w:val="single" w:sz="8" w:space="0" w:color="323E48" w:themeColor="accent1"/>
          <w:insideV w:val="single" w:sz="8" w:space="0" w:color="323E48" w:themeColor="accent1"/>
        </w:tcBorders>
        <w:shd w:val="clear" w:color="auto" w:fill="C6CFD7" w:themeFill="accent1" w:themeFillTint="3F"/>
      </w:tcPr>
    </w:tblStylePr>
    <w:tblStylePr w:type="band2Horz">
      <w:tblPr/>
      <w:tcPr>
        <w:tcBorders>
          <w:top w:val="single" w:sz="8" w:space="0" w:color="323E48" w:themeColor="accent1"/>
          <w:left w:val="single" w:sz="8" w:space="0" w:color="323E48" w:themeColor="accent1"/>
          <w:bottom w:val="single" w:sz="8" w:space="0" w:color="323E48" w:themeColor="accent1"/>
          <w:right w:val="single" w:sz="8" w:space="0" w:color="323E48" w:themeColor="accent1"/>
          <w:insideV w:val="single" w:sz="8" w:space="0" w:color="323E48" w:themeColor="accent1"/>
        </w:tcBorders>
      </w:tcPr>
    </w:tblStylePr>
  </w:style>
  <w:style w:type="table" w:styleId="LightGrid-Accent2">
    <w:name w:val="Light Grid Accent 2"/>
    <w:basedOn w:val="TableNormal"/>
    <w:uiPriority w:val="62"/>
    <w:rsid w:val="00831F70"/>
    <w:rPr>
      <w:rFonts w:eastAsia="MS Mincho"/>
      <w:lang w:val="en-GB" w:eastAsia="en-GB"/>
    </w:rPr>
    <w:tblPr>
      <w:tblStyleRowBandSize w:val="1"/>
      <w:tblStyleColBandSize w:val="1"/>
      <w:tblBorders>
        <w:top w:val="single" w:sz="8" w:space="0" w:color="30AEB6" w:themeColor="accent2"/>
        <w:left w:val="single" w:sz="8" w:space="0" w:color="30AEB6" w:themeColor="accent2"/>
        <w:bottom w:val="single" w:sz="8" w:space="0" w:color="30AEB6" w:themeColor="accent2"/>
        <w:right w:val="single" w:sz="8" w:space="0" w:color="30AEB6" w:themeColor="accent2"/>
        <w:insideH w:val="single" w:sz="8" w:space="0" w:color="30AEB6" w:themeColor="accent2"/>
        <w:insideV w:val="single" w:sz="8" w:space="0" w:color="30AEB6"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0AEB6" w:themeColor="accent2"/>
          <w:left w:val="single" w:sz="8" w:space="0" w:color="30AEB6" w:themeColor="accent2"/>
          <w:bottom w:val="single" w:sz="18" w:space="0" w:color="30AEB6" w:themeColor="accent2"/>
          <w:right w:val="single" w:sz="8" w:space="0" w:color="30AEB6" w:themeColor="accent2"/>
          <w:insideH w:val="nil"/>
          <w:insideV w:val="single" w:sz="8" w:space="0" w:color="30AEB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AEB6" w:themeColor="accent2"/>
          <w:left w:val="single" w:sz="8" w:space="0" w:color="30AEB6" w:themeColor="accent2"/>
          <w:bottom w:val="single" w:sz="8" w:space="0" w:color="30AEB6" w:themeColor="accent2"/>
          <w:right w:val="single" w:sz="8" w:space="0" w:color="30AEB6" w:themeColor="accent2"/>
          <w:insideH w:val="nil"/>
          <w:insideV w:val="single" w:sz="8" w:space="0" w:color="30AEB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AEB6" w:themeColor="accent2"/>
          <w:left w:val="single" w:sz="8" w:space="0" w:color="30AEB6" w:themeColor="accent2"/>
          <w:bottom w:val="single" w:sz="8" w:space="0" w:color="30AEB6" w:themeColor="accent2"/>
          <w:right w:val="single" w:sz="8" w:space="0" w:color="30AEB6" w:themeColor="accent2"/>
        </w:tcBorders>
      </w:tcPr>
    </w:tblStylePr>
    <w:tblStylePr w:type="band1Vert">
      <w:tblPr/>
      <w:tcPr>
        <w:tcBorders>
          <w:top w:val="single" w:sz="8" w:space="0" w:color="30AEB6" w:themeColor="accent2"/>
          <w:left w:val="single" w:sz="8" w:space="0" w:color="30AEB6" w:themeColor="accent2"/>
          <w:bottom w:val="single" w:sz="8" w:space="0" w:color="30AEB6" w:themeColor="accent2"/>
          <w:right w:val="single" w:sz="8" w:space="0" w:color="30AEB6" w:themeColor="accent2"/>
        </w:tcBorders>
        <w:shd w:val="clear" w:color="auto" w:fill="C8EEF0" w:themeFill="accent2" w:themeFillTint="3F"/>
      </w:tcPr>
    </w:tblStylePr>
    <w:tblStylePr w:type="band1Horz">
      <w:tblPr/>
      <w:tcPr>
        <w:tcBorders>
          <w:top w:val="single" w:sz="8" w:space="0" w:color="30AEB6" w:themeColor="accent2"/>
          <w:left w:val="single" w:sz="8" w:space="0" w:color="30AEB6" w:themeColor="accent2"/>
          <w:bottom w:val="single" w:sz="8" w:space="0" w:color="30AEB6" w:themeColor="accent2"/>
          <w:right w:val="single" w:sz="8" w:space="0" w:color="30AEB6" w:themeColor="accent2"/>
          <w:insideV w:val="single" w:sz="8" w:space="0" w:color="30AEB6" w:themeColor="accent2"/>
        </w:tcBorders>
        <w:shd w:val="clear" w:color="auto" w:fill="C8EEF0" w:themeFill="accent2" w:themeFillTint="3F"/>
      </w:tcPr>
    </w:tblStylePr>
    <w:tblStylePr w:type="band2Horz">
      <w:tblPr/>
      <w:tcPr>
        <w:tcBorders>
          <w:top w:val="single" w:sz="8" w:space="0" w:color="30AEB6" w:themeColor="accent2"/>
          <w:left w:val="single" w:sz="8" w:space="0" w:color="30AEB6" w:themeColor="accent2"/>
          <w:bottom w:val="single" w:sz="8" w:space="0" w:color="30AEB6" w:themeColor="accent2"/>
          <w:right w:val="single" w:sz="8" w:space="0" w:color="30AEB6" w:themeColor="accent2"/>
          <w:insideV w:val="single" w:sz="8" w:space="0" w:color="30AEB6" w:themeColor="accent2"/>
        </w:tcBorders>
      </w:tcPr>
    </w:tblStylePr>
  </w:style>
  <w:style w:type="table" w:styleId="LightGrid-Accent3">
    <w:name w:val="Light Grid Accent 3"/>
    <w:basedOn w:val="TableNormal"/>
    <w:uiPriority w:val="62"/>
    <w:rsid w:val="00831F70"/>
    <w:rPr>
      <w:rFonts w:eastAsia="MS Mincho"/>
      <w:lang w:val="en-GB" w:eastAsia="en-GB"/>
    </w:rPr>
    <w:tblPr>
      <w:tblStyleRowBandSize w:val="1"/>
      <w:tblStyleColBandSize w:val="1"/>
      <w:tblBorders>
        <w:top w:val="single" w:sz="8" w:space="0" w:color="DE4326" w:themeColor="accent3"/>
        <w:left w:val="single" w:sz="8" w:space="0" w:color="DE4326" w:themeColor="accent3"/>
        <w:bottom w:val="single" w:sz="8" w:space="0" w:color="DE4326" w:themeColor="accent3"/>
        <w:right w:val="single" w:sz="8" w:space="0" w:color="DE4326" w:themeColor="accent3"/>
        <w:insideH w:val="single" w:sz="8" w:space="0" w:color="DE4326" w:themeColor="accent3"/>
        <w:insideV w:val="single" w:sz="8" w:space="0" w:color="DE4326"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E4326" w:themeColor="accent3"/>
          <w:left w:val="single" w:sz="8" w:space="0" w:color="DE4326" w:themeColor="accent3"/>
          <w:bottom w:val="single" w:sz="18" w:space="0" w:color="DE4326" w:themeColor="accent3"/>
          <w:right w:val="single" w:sz="8" w:space="0" w:color="DE4326" w:themeColor="accent3"/>
          <w:insideH w:val="nil"/>
          <w:insideV w:val="single" w:sz="8" w:space="0" w:color="DE4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4326" w:themeColor="accent3"/>
          <w:left w:val="single" w:sz="8" w:space="0" w:color="DE4326" w:themeColor="accent3"/>
          <w:bottom w:val="single" w:sz="8" w:space="0" w:color="DE4326" w:themeColor="accent3"/>
          <w:right w:val="single" w:sz="8" w:space="0" w:color="DE4326" w:themeColor="accent3"/>
          <w:insideH w:val="nil"/>
          <w:insideV w:val="single" w:sz="8" w:space="0" w:color="DE4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4326" w:themeColor="accent3"/>
          <w:left w:val="single" w:sz="8" w:space="0" w:color="DE4326" w:themeColor="accent3"/>
          <w:bottom w:val="single" w:sz="8" w:space="0" w:color="DE4326" w:themeColor="accent3"/>
          <w:right w:val="single" w:sz="8" w:space="0" w:color="DE4326" w:themeColor="accent3"/>
        </w:tcBorders>
      </w:tcPr>
    </w:tblStylePr>
    <w:tblStylePr w:type="band1Vert">
      <w:tblPr/>
      <w:tcPr>
        <w:tcBorders>
          <w:top w:val="single" w:sz="8" w:space="0" w:color="DE4326" w:themeColor="accent3"/>
          <w:left w:val="single" w:sz="8" w:space="0" w:color="DE4326" w:themeColor="accent3"/>
          <w:bottom w:val="single" w:sz="8" w:space="0" w:color="DE4326" w:themeColor="accent3"/>
          <w:right w:val="single" w:sz="8" w:space="0" w:color="DE4326" w:themeColor="accent3"/>
        </w:tcBorders>
        <w:shd w:val="clear" w:color="auto" w:fill="F6D0C9" w:themeFill="accent3" w:themeFillTint="3F"/>
      </w:tcPr>
    </w:tblStylePr>
    <w:tblStylePr w:type="band1Horz">
      <w:tblPr/>
      <w:tcPr>
        <w:tcBorders>
          <w:top w:val="single" w:sz="8" w:space="0" w:color="DE4326" w:themeColor="accent3"/>
          <w:left w:val="single" w:sz="8" w:space="0" w:color="DE4326" w:themeColor="accent3"/>
          <w:bottom w:val="single" w:sz="8" w:space="0" w:color="DE4326" w:themeColor="accent3"/>
          <w:right w:val="single" w:sz="8" w:space="0" w:color="DE4326" w:themeColor="accent3"/>
          <w:insideV w:val="single" w:sz="8" w:space="0" w:color="DE4326" w:themeColor="accent3"/>
        </w:tcBorders>
        <w:shd w:val="clear" w:color="auto" w:fill="F6D0C9" w:themeFill="accent3" w:themeFillTint="3F"/>
      </w:tcPr>
    </w:tblStylePr>
    <w:tblStylePr w:type="band2Horz">
      <w:tblPr/>
      <w:tcPr>
        <w:tcBorders>
          <w:top w:val="single" w:sz="8" w:space="0" w:color="DE4326" w:themeColor="accent3"/>
          <w:left w:val="single" w:sz="8" w:space="0" w:color="DE4326" w:themeColor="accent3"/>
          <w:bottom w:val="single" w:sz="8" w:space="0" w:color="DE4326" w:themeColor="accent3"/>
          <w:right w:val="single" w:sz="8" w:space="0" w:color="DE4326" w:themeColor="accent3"/>
          <w:insideV w:val="single" w:sz="8" w:space="0" w:color="DE4326" w:themeColor="accent3"/>
        </w:tcBorders>
      </w:tcPr>
    </w:tblStylePr>
  </w:style>
  <w:style w:type="table" w:styleId="LightGrid-Accent4">
    <w:name w:val="Light Grid Accent 4"/>
    <w:basedOn w:val="TableNormal"/>
    <w:uiPriority w:val="62"/>
    <w:rsid w:val="00831F70"/>
    <w:rPr>
      <w:rFonts w:eastAsia="MS Mincho"/>
      <w:lang w:val="en-GB" w:eastAsia="en-GB"/>
    </w:rPr>
    <w:tblPr>
      <w:tblStyleRowBandSize w:val="1"/>
      <w:tblStyleColBandSize w:val="1"/>
      <w:tblBorders>
        <w:top w:val="single" w:sz="8" w:space="0" w:color="84C98F" w:themeColor="accent4"/>
        <w:left w:val="single" w:sz="8" w:space="0" w:color="84C98F" w:themeColor="accent4"/>
        <w:bottom w:val="single" w:sz="8" w:space="0" w:color="84C98F" w:themeColor="accent4"/>
        <w:right w:val="single" w:sz="8" w:space="0" w:color="84C98F" w:themeColor="accent4"/>
        <w:insideH w:val="single" w:sz="8" w:space="0" w:color="84C98F" w:themeColor="accent4"/>
        <w:insideV w:val="single" w:sz="8" w:space="0" w:color="84C98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4C98F" w:themeColor="accent4"/>
          <w:left w:val="single" w:sz="8" w:space="0" w:color="84C98F" w:themeColor="accent4"/>
          <w:bottom w:val="single" w:sz="18" w:space="0" w:color="84C98F" w:themeColor="accent4"/>
          <w:right w:val="single" w:sz="8" w:space="0" w:color="84C98F" w:themeColor="accent4"/>
          <w:insideH w:val="nil"/>
          <w:insideV w:val="single" w:sz="8" w:space="0" w:color="84C98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C98F" w:themeColor="accent4"/>
          <w:left w:val="single" w:sz="8" w:space="0" w:color="84C98F" w:themeColor="accent4"/>
          <w:bottom w:val="single" w:sz="8" w:space="0" w:color="84C98F" w:themeColor="accent4"/>
          <w:right w:val="single" w:sz="8" w:space="0" w:color="84C98F" w:themeColor="accent4"/>
          <w:insideH w:val="nil"/>
          <w:insideV w:val="single" w:sz="8" w:space="0" w:color="84C98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C98F" w:themeColor="accent4"/>
          <w:left w:val="single" w:sz="8" w:space="0" w:color="84C98F" w:themeColor="accent4"/>
          <w:bottom w:val="single" w:sz="8" w:space="0" w:color="84C98F" w:themeColor="accent4"/>
          <w:right w:val="single" w:sz="8" w:space="0" w:color="84C98F" w:themeColor="accent4"/>
        </w:tcBorders>
      </w:tcPr>
    </w:tblStylePr>
    <w:tblStylePr w:type="band1Vert">
      <w:tblPr/>
      <w:tcPr>
        <w:tcBorders>
          <w:top w:val="single" w:sz="8" w:space="0" w:color="84C98F" w:themeColor="accent4"/>
          <w:left w:val="single" w:sz="8" w:space="0" w:color="84C98F" w:themeColor="accent4"/>
          <w:bottom w:val="single" w:sz="8" w:space="0" w:color="84C98F" w:themeColor="accent4"/>
          <w:right w:val="single" w:sz="8" w:space="0" w:color="84C98F" w:themeColor="accent4"/>
        </w:tcBorders>
        <w:shd w:val="clear" w:color="auto" w:fill="E0F1E3" w:themeFill="accent4" w:themeFillTint="3F"/>
      </w:tcPr>
    </w:tblStylePr>
    <w:tblStylePr w:type="band1Horz">
      <w:tblPr/>
      <w:tcPr>
        <w:tcBorders>
          <w:top w:val="single" w:sz="8" w:space="0" w:color="84C98F" w:themeColor="accent4"/>
          <w:left w:val="single" w:sz="8" w:space="0" w:color="84C98F" w:themeColor="accent4"/>
          <w:bottom w:val="single" w:sz="8" w:space="0" w:color="84C98F" w:themeColor="accent4"/>
          <w:right w:val="single" w:sz="8" w:space="0" w:color="84C98F" w:themeColor="accent4"/>
          <w:insideV w:val="single" w:sz="8" w:space="0" w:color="84C98F" w:themeColor="accent4"/>
        </w:tcBorders>
        <w:shd w:val="clear" w:color="auto" w:fill="E0F1E3" w:themeFill="accent4" w:themeFillTint="3F"/>
      </w:tcPr>
    </w:tblStylePr>
    <w:tblStylePr w:type="band2Horz">
      <w:tblPr/>
      <w:tcPr>
        <w:tcBorders>
          <w:top w:val="single" w:sz="8" w:space="0" w:color="84C98F" w:themeColor="accent4"/>
          <w:left w:val="single" w:sz="8" w:space="0" w:color="84C98F" w:themeColor="accent4"/>
          <w:bottom w:val="single" w:sz="8" w:space="0" w:color="84C98F" w:themeColor="accent4"/>
          <w:right w:val="single" w:sz="8" w:space="0" w:color="84C98F" w:themeColor="accent4"/>
          <w:insideV w:val="single" w:sz="8" w:space="0" w:color="84C98F" w:themeColor="accent4"/>
        </w:tcBorders>
      </w:tcPr>
    </w:tblStylePr>
  </w:style>
  <w:style w:type="table" w:styleId="LightGrid-Accent5">
    <w:name w:val="Light Grid Accent 5"/>
    <w:basedOn w:val="TableNormal"/>
    <w:uiPriority w:val="62"/>
    <w:rsid w:val="00831F70"/>
    <w:rPr>
      <w:rFonts w:eastAsia="MS Mincho"/>
      <w:lang w:val="en-GB" w:eastAsia="en-GB"/>
    </w:rPr>
    <w:tblPr>
      <w:tblStyleRowBandSize w:val="1"/>
      <w:tblStyleColBandSize w:val="1"/>
      <w:tblBorders>
        <w:top w:val="single" w:sz="8" w:space="0" w:color="F1AC1E" w:themeColor="accent5"/>
        <w:left w:val="single" w:sz="8" w:space="0" w:color="F1AC1E" w:themeColor="accent5"/>
        <w:bottom w:val="single" w:sz="8" w:space="0" w:color="F1AC1E" w:themeColor="accent5"/>
        <w:right w:val="single" w:sz="8" w:space="0" w:color="F1AC1E" w:themeColor="accent5"/>
        <w:insideH w:val="single" w:sz="8" w:space="0" w:color="F1AC1E" w:themeColor="accent5"/>
        <w:insideV w:val="single" w:sz="8" w:space="0" w:color="F1AC1E"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1AC1E" w:themeColor="accent5"/>
          <w:left w:val="single" w:sz="8" w:space="0" w:color="F1AC1E" w:themeColor="accent5"/>
          <w:bottom w:val="single" w:sz="18" w:space="0" w:color="F1AC1E" w:themeColor="accent5"/>
          <w:right w:val="single" w:sz="8" w:space="0" w:color="F1AC1E" w:themeColor="accent5"/>
          <w:insideH w:val="nil"/>
          <w:insideV w:val="single" w:sz="8" w:space="0" w:color="F1AC1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AC1E" w:themeColor="accent5"/>
          <w:left w:val="single" w:sz="8" w:space="0" w:color="F1AC1E" w:themeColor="accent5"/>
          <w:bottom w:val="single" w:sz="8" w:space="0" w:color="F1AC1E" w:themeColor="accent5"/>
          <w:right w:val="single" w:sz="8" w:space="0" w:color="F1AC1E" w:themeColor="accent5"/>
          <w:insideH w:val="nil"/>
          <w:insideV w:val="single" w:sz="8" w:space="0" w:color="F1AC1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AC1E" w:themeColor="accent5"/>
          <w:left w:val="single" w:sz="8" w:space="0" w:color="F1AC1E" w:themeColor="accent5"/>
          <w:bottom w:val="single" w:sz="8" w:space="0" w:color="F1AC1E" w:themeColor="accent5"/>
          <w:right w:val="single" w:sz="8" w:space="0" w:color="F1AC1E" w:themeColor="accent5"/>
        </w:tcBorders>
      </w:tcPr>
    </w:tblStylePr>
    <w:tblStylePr w:type="band1Vert">
      <w:tblPr/>
      <w:tcPr>
        <w:tcBorders>
          <w:top w:val="single" w:sz="8" w:space="0" w:color="F1AC1E" w:themeColor="accent5"/>
          <w:left w:val="single" w:sz="8" w:space="0" w:color="F1AC1E" w:themeColor="accent5"/>
          <w:bottom w:val="single" w:sz="8" w:space="0" w:color="F1AC1E" w:themeColor="accent5"/>
          <w:right w:val="single" w:sz="8" w:space="0" w:color="F1AC1E" w:themeColor="accent5"/>
        </w:tcBorders>
        <w:shd w:val="clear" w:color="auto" w:fill="FBEAC7" w:themeFill="accent5" w:themeFillTint="3F"/>
      </w:tcPr>
    </w:tblStylePr>
    <w:tblStylePr w:type="band1Horz">
      <w:tblPr/>
      <w:tcPr>
        <w:tcBorders>
          <w:top w:val="single" w:sz="8" w:space="0" w:color="F1AC1E" w:themeColor="accent5"/>
          <w:left w:val="single" w:sz="8" w:space="0" w:color="F1AC1E" w:themeColor="accent5"/>
          <w:bottom w:val="single" w:sz="8" w:space="0" w:color="F1AC1E" w:themeColor="accent5"/>
          <w:right w:val="single" w:sz="8" w:space="0" w:color="F1AC1E" w:themeColor="accent5"/>
          <w:insideV w:val="single" w:sz="8" w:space="0" w:color="F1AC1E" w:themeColor="accent5"/>
        </w:tcBorders>
        <w:shd w:val="clear" w:color="auto" w:fill="FBEAC7" w:themeFill="accent5" w:themeFillTint="3F"/>
      </w:tcPr>
    </w:tblStylePr>
    <w:tblStylePr w:type="band2Horz">
      <w:tblPr/>
      <w:tcPr>
        <w:tcBorders>
          <w:top w:val="single" w:sz="8" w:space="0" w:color="F1AC1E" w:themeColor="accent5"/>
          <w:left w:val="single" w:sz="8" w:space="0" w:color="F1AC1E" w:themeColor="accent5"/>
          <w:bottom w:val="single" w:sz="8" w:space="0" w:color="F1AC1E" w:themeColor="accent5"/>
          <w:right w:val="single" w:sz="8" w:space="0" w:color="F1AC1E" w:themeColor="accent5"/>
          <w:insideV w:val="single" w:sz="8" w:space="0" w:color="F1AC1E" w:themeColor="accent5"/>
        </w:tcBorders>
      </w:tcPr>
    </w:tblStylePr>
  </w:style>
  <w:style w:type="table" w:styleId="LightGrid-Accent6">
    <w:name w:val="Light Grid Accent 6"/>
    <w:basedOn w:val="TableNormal"/>
    <w:uiPriority w:val="62"/>
    <w:rsid w:val="00831F70"/>
    <w:rPr>
      <w:rFonts w:eastAsia="MS Mincho"/>
      <w:lang w:val="en-GB" w:eastAsia="en-GB"/>
    </w:rPr>
    <w:tblPr>
      <w:tblStyleRowBandSize w:val="1"/>
      <w:tblStyleColBandSize w:val="1"/>
      <w:tblBorders>
        <w:top w:val="single" w:sz="8" w:space="0" w:color="1D1A46" w:themeColor="accent6"/>
        <w:left w:val="single" w:sz="8" w:space="0" w:color="1D1A46" w:themeColor="accent6"/>
        <w:bottom w:val="single" w:sz="8" w:space="0" w:color="1D1A46" w:themeColor="accent6"/>
        <w:right w:val="single" w:sz="8" w:space="0" w:color="1D1A46" w:themeColor="accent6"/>
        <w:insideH w:val="single" w:sz="8" w:space="0" w:color="1D1A46" w:themeColor="accent6"/>
        <w:insideV w:val="single" w:sz="8" w:space="0" w:color="1D1A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1D1A46" w:themeColor="accent6"/>
          <w:left w:val="single" w:sz="8" w:space="0" w:color="1D1A46" w:themeColor="accent6"/>
          <w:bottom w:val="single" w:sz="18" w:space="0" w:color="1D1A46" w:themeColor="accent6"/>
          <w:right w:val="single" w:sz="8" w:space="0" w:color="1D1A46" w:themeColor="accent6"/>
          <w:insideH w:val="nil"/>
          <w:insideV w:val="single" w:sz="8" w:space="0" w:color="1D1A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1A46" w:themeColor="accent6"/>
          <w:left w:val="single" w:sz="8" w:space="0" w:color="1D1A46" w:themeColor="accent6"/>
          <w:bottom w:val="single" w:sz="8" w:space="0" w:color="1D1A46" w:themeColor="accent6"/>
          <w:right w:val="single" w:sz="8" w:space="0" w:color="1D1A46" w:themeColor="accent6"/>
          <w:insideH w:val="nil"/>
          <w:insideV w:val="single" w:sz="8" w:space="0" w:color="1D1A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1A46" w:themeColor="accent6"/>
          <w:left w:val="single" w:sz="8" w:space="0" w:color="1D1A46" w:themeColor="accent6"/>
          <w:bottom w:val="single" w:sz="8" w:space="0" w:color="1D1A46" w:themeColor="accent6"/>
          <w:right w:val="single" w:sz="8" w:space="0" w:color="1D1A46" w:themeColor="accent6"/>
        </w:tcBorders>
      </w:tcPr>
    </w:tblStylePr>
    <w:tblStylePr w:type="band1Vert">
      <w:tblPr/>
      <w:tcPr>
        <w:tcBorders>
          <w:top w:val="single" w:sz="8" w:space="0" w:color="1D1A46" w:themeColor="accent6"/>
          <w:left w:val="single" w:sz="8" w:space="0" w:color="1D1A46" w:themeColor="accent6"/>
          <w:bottom w:val="single" w:sz="8" w:space="0" w:color="1D1A46" w:themeColor="accent6"/>
          <w:right w:val="single" w:sz="8" w:space="0" w:color="1D1A46" w:themeColor="accent6"/>
        </w:tcBorders>
        <w:shd w:val="clear" w:color="auto" w:fill="B7B4E3" w:themeFill="accent6" w:themeFillTint="3F"/>
      </w:tcPr>
    </w:tblStylePr>
    <w:tblStylePr w:type="band1Horz">
      <w:tblPr/>
      <w:tcPr>
        <w:tcBorders>
          <w:top w:val="single" w:sz="8" w:space="0" w:color="1D1A46" w:themeColor="accent6"/>
          <w:left w:val="single" w:sz="8" w:space="0" w:color="1D1A46" w:themeColor="accent6"/>
          <w:bottom w:val="single" w:sz="8" w:space="0" w:color="1D1A46" w:themeColor="accent6"/>
          <w:right w:val="single" w:sz="8" w:space="0" w:color="1D1A46" w:themeColor="accent6"/>
          <w:insideV w:val="single" w:sz="8" w:space="0" w:color="1D1A46" w:themeColor="accent6"/>
        </w:tcBorders>
        <w:shd w:val="clear" w:color="auto" w:fill="B7B4E3" w:themeFill="accent6" w:themeFillTint="3F"/>
      </w:tcPr>
    </w:tblStylePr>
    <w:tblStylePr w:type="band2Horz">
      <w:tblPr/>
      <w:tcPr>
        <w:tcBorders>
          <w:top w:val="single" w:sz="8" w:space="0" w:color="1D1A46" w:themeColor="accent6"/>
          <w:left w:val="single" w:sz="8" w:space="0" w:color="1D1A46" w:themeColor="accent6"/>
          <w:bottom w:val="single" w:sz="8" w:space="0" w:color="1D1A46" w:themeColor="accent6"/>
          <w:right w:val="single" w:sz="8" w:space="0" w:color="1D1A46" w:themeColor="accent6"/>
          <w:insideV w:val="single" w:sz="8" w:space="0" w:color="1D1A46" w:themeColor="accent6"/>
        </w:tcBorders>
      </w:tcPr>
    </w:tblStylePr>
  </w:style>
  <w:style w:type="table" w:styleId="LightList">
    <w:name w:val="Light List"/>
    <w:basedOn w:val="TableNormal"/>
    <w:uiPriority w:val="61"/>
    <w:rsid w:val="00831F70"/>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831F70"/>
    <w:rPr>
      <w:rFonts w:eastAsia="MS Mincho"/>
      <w:lang w:val="en-GB" w:eastAsia="en-GB"/>
    </w:rPr>
    <w:tblPr>
      <w:tblStyleRowBandSize w:val="1"/>
      <w:tblStyleColBandSize w:val="1"/>
      <w:tblBorders>
        <w:top w:val="single" w:sz="8" w:space="0" w:color="323E48" w:themeColor="accent1"/>
        <w:left w:val="single" w:sz="8" w:space="0" w:color="323E48" w:themeColor="accent1"/>
        <w:bottom w:val="single" w:sz="8" w:space="0" w:color="323E48" w:themeColor="accent1"/>
        <w:right w:val="single" w:sz="8" w:space="0" w:color="323E48"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23E48" w:themeFill="accent1"/>
      </w:tcPr>
    </w:tblStylePr>
    <w:tblStylePr w:type="lastRow">
      <w:pPr>
        <w:spacing w:before="0" w:after="0" w:line="240" w:lineRule="auto"/>
      </w:pPr>
      <w:rPr>
        <w:b/>
        <w:bCs/>
      </w:rPr>
      <w:tblPr/>
      <w:tcPr>
        <w:tcBorders>
          <w:top w:val="double" w:sz="6" w:space="0" w:color="323E48" w:themeColor="accent1"/>
          <w:left w:val="single" w:sz="8" w:space="0" w:color="323E48" w:themeColor="accent1"/>
          <w:bottom w:val="single" w:sz="8" w:space="0" w:color="323E48" w:themeColor="accent1"/>
          <w:right w:val="single" w:sz="8" w:space="0" w:color="323E48" w:themeColor="accent1"/>
        </w:tcBorders>
      </w:tcPr>
    </w:tblStylePr>
    <w:tblStylePr w:type="firstCol">
      <w:rPr>
        <w:b/>
        <w:bCs/>
      </w:rPr>
    </w:tblStylePr>
    <w:tblStylePr w:type="lastCol">
      <w:rPr>
        <w:b/>
        <w:bCs/>
      </w:rPr>
    </w:tblStylePr>
    <w:tblStylePr w:type="band1Vert">
      <w:tblPr/>
      <w:tcPr>
        <w:tcBorders>
          <w:top w:val="single" w:sz="8" w:space="0" w:color="323E48" w:themeColor="accent1"/>
          <w:left w:val="single" w:sz="8" w:space="0" w:color="323E48" w:themeColor="accent1"/>
          <w:bottom w:val="single" w:sz="8" w:space="0" w:color="323E48" w:themeColor="accent1"/>
          <w:right w:val="single" w:sz="8" w:space="0" w:color="323E48" w:themeColor="accent1"/>
        </w:tcBorders>
      </w:tcPr>
    </w:tblStylePr>
    <w:tblStylePr w:type="band1Horz">
      <w:tblPr/>
      <w:tcPr>
        <w:tcBorders>
          <w:top w:val="single" w:sz="8" w:space="0" w:color="323E48" w:themeColor="accent1"/>
          <w:left w:val="single" w:sz="8" w:space="0" w:color="323E48" w:themeColor="accent1"/>
          <w:bottom w:val="single" w:sz="8" w:space="0" w:color="323E48" w:themeColor="accent1"/>
          <w:right w:val="single" w:sz="8" w:space="0" w:color="323E48" w:themeColor="accent1"/>
        </w:tcBorders>
      </w:tcPr>
    </w:tblStylePr>
  </w:style>
  <w:style w:type="table" w:styleId="LightList-Accent2">
    <w:name w:val="Light List Accent 2"/>
    <w:basedOn w:val="TableNormal"/>
    <w:uiPriority w:val="61"/>
    <w:rsid w:val="00831F70"/>
    <w:rPr>
      <w:rFonts w:eastAsia="MS Mincho"/>
      <w:lang w:val="en-GB" w:eastAsia="en-GB"/>
    </w:rPr>
    <w:tblPr>
      <w:tblStyleRowBandSize w:val="1"/>
      <w:tblStyleColBandSize w:val="1"/>
      <w:tblBorders>
        <w:top w:val="single" w:sz="8" w:space="0" w:color="30AEB6" w:themeColor="accent2"/>
        <w:left w:val="single" w:sz="8" w:space="0" w:color="30AEB6" w:themeColor="accent2"/>
        <w:bottom w:val="single" w:sz="8" w:space="0" w:color="30AEB6" w:themeColor="accent2"/>
        <w:right w:val="single" w:sz="8" w:space="0" w:color="30AEB6"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0AEB6" w:themeFill="accent2"/>
      </w:tcPr>
    </w:tblStylePr>
    <w:tblStylePr w:type="lastRow">
      <w:pPr>
        <w:spacing w:before="0" w:after="0" w:line="240" w:lineRule="auto"/>
      </w:pPr>
      <w:rPr>
        <w:b/>
        <w:bCs/>
      </w:rPr>
      <w:tblPr/>
      <w:tcPr>
        <w:tcBorders>
          <w:top w:val="double" w:sz="6" w:space="0" w:color="30AEB6" w:themeColor="accent2"/>
          <w:left w:val="single" w:sz="8" w:space="0" w:color="30AEB6" w:themeColor="accent2"/>
          <w:bottom w:val="single" w:sz="8" w:space="0" w:color="30AEB6" w:themeColor="accent2"/>
          <w:right w:val="single" w:sz="8" w:space="0" w:color="30AEB6" w:themeColor="accent2"/>
        </w:tcBorders>
      </w:tcPr>
    </w:tblStylePr>
    <w:tblStylePr w:type="firstCol">
      <w:rPr>
        <w:b/>
        <w:bCs/>
      </w:rPr>
    </w:tblStylePr>
    <w:tblStylePr w:type="lastCol">
      <w:rPr>
        <w:b/>
        <w:bCs/>
      </w:rPr>
    </w:tblStylePr>
    <w:tblStylePr w:type="band1Vert">
      <w:tblPr/>
      <w:tcPr>
        <w:tcBorders>
          <w:top w:val="single" w:sz="8" w:space="0" w:color="30AEB6" w:themeColor="accent2"/>
          <w:left w:val="single" w:sz="8" w:space="0" w:color="30AEB6" w:themeColor="accent2"/>
          <w:bottom w:val="single" w:sz="8" w:space="0" w:color="30AEB6" w:themeColor="accent2"/>
          <w:right w:val="single" w:sz="8" w:space="0" w:color="30AEB6" w:themeColor="accent2"/>
        </w:tcBorders>
      </w:tcPr>
    </w:tblStylePr>
    <w:tblStylePr w:type="band1Horz">
      <w:tblPr/>
      <w:tcPr>
        <w:tcBorders>
          <w:top w:val="single" w:sz="8" w:space="0" w:color="30AEB6" w:themeColor="accent2"/>
          <w:left w:val="single" w:sz="8" w:space="0" w:color="30AEB6" w:themeColor="accent2"/>
          <w:bottom w:val="single" w:sz="8" w:space="0" w:color="30AEB6" w:themeColor="accent2"/>
          <w:right w:val="single" w:sz="8" w:space="0" w:color="30AEB6" w:themeColor="accent2"/>
        </w:tcBorders>
      </w:tcPr>
    </w:tblStylePr>
  </w:style>
  <w:style w:type="table" w:styleId="LightList-Accent3">
    <w:name w:val="Light List Accent 3"/>
    <w:basedOn w:val="TableNormal"/>
    <w:uiPriority w:val="61"/>
    <w:rsid w:val="00831F70"/>
    <w:rPr>
      <w:rFonts w:eastAsia="MS Mincho"/>
      <w:lang w:val="en-GB" w:eastAsia="en-GB"/>
    </w:rPr>
    <w:tblPr>
      <w:tblStyleRowBandSize w:val="1"/>
      <w:tblStyleColBandSize w:val="1"/>
      <w:tblBorders>
        <w:top w:val="single" w:sz="8" w:space="0" w:color="DE4326" w:themeColor="accent3"/>
        <w:left w:val="single" w:sz="8" w:space="0" w:color="DE4326" w:themeColor="accent3"/>
        <w:bottom w:val="single" w:sz="8" w:space="0" w:color="DE4326" w:themeColor="accent3"/>
        <w:right w:val="single" w:sz="8" w:space="0" w:color="DE4326"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E4326" w:themeFill="accent3"/>
      </w:tcPr>
    </w:tblStylePr>
    <w:tblStylePr w:type="lastRow">
      <w:pPr>
        <w:spacing w:before="0" w:after="0" w:line="240" w:lineRule="auto"/>
      </w:pPr>
      <w:rPr>
        <w:b/>
        <w:bCs/>
      </w:rPr>
      <w:tblPr/>
      <w:tcPr>
        <w:tcBorders>
          <w:top w:val="double" w:sz="6" w:space="0" w:color="DE4326" w:themeColor="accent3"/>
          <w:left w:val="single" w:sz="8" w:space="0" w:color="DE4326" w:themeColor="accent3"/>
          <w:bottom w:val="single" w:sz="8" w:space="0" w:color="DE4326" w:themeColor="accent3"/>
          <w:right w:val="single" w:sz="8" w:space="0" w:color="DE4326" w:themeColor="accent3"/>
        </w:tcBorders>
      </w:tcPr>
    </w:tblStylePr>
    <w:tblStylePr w:type="firstCol">
      <w:rPr>
        <w:b/>
        <w:bCs/>
      </w:rPr>
    </w:tblStylePr>
    <w:tblStylePr w:type="lastCol">
      <w:rPr>
        <w:b/>
        <w:bCs/>
      </w:rPr>
    </w:tblStylePr>
    <w:tblStylePr w:type="band1Vert">
      <w:tblPr/>
      <w:tcPr>
        <w:tcBorders>
          <w:top w:val="single" w:sz="8" w:space="0" w:color="DE4326" w:themeColor="accent3"/>
          <w:left w:val="single" w:sz="8" w:space="0" w:color="DE4326" w:themeColor="accent3"/>
          <w:bottom w:val="single" w:sz="8" w:space="0" w:color="DE4326" w:themeColor="accent3"/>
          <w:right w:val="single" w:sz="8" w:space="0" w:color="DE4326" w:themeColor="accent3"/>
        </w:tcBorders>
      </w:tcPr>
    </w:tblStylePr>
    <w:tblStylePr w:type="band1Horz">
      <w:tblPr/>
      <w:tcPr>
        <w:tcBorders>
          <w:top w:val="single" w:sz="8" w:space="0" w:color="DE4326" w:themeColor="accent3"/>
          <w:left w:val="single" w:sz="8" w:space="0" w:color="DE4326" w:themeColor="accent3"/>
          <w:bottom w:val="single" w:sz="8" w:space="0" w:color="DE4326" w:themeColor="accent3"/>
          <w:right w:val="single" w:sz="8" w:space="0" w:color="DE4326" w:themeColor="accent3"/>
        </w:tcBorders>
      </w:tcPr>
    </w:tblStylePr>
  </w:style>
  <w:style w:type="table" w:styleId="LightList-Accent4">
    <w:name w:val="Light List Accent 4"/>
    <w:basedOn w:val="TableNormal"/>
    <w:uiPriority w:val="61"/>
    <w:rsid w:val="00831F70"/>
    <w:rPr>
      <w:rFonts w:eastAsia="MS Mincho"/>
      <w:lang w:val="en-GB" w:eastAsia="en-GB"/>
    </w:rPr>
    <w:tblPr>
      <w:tblStyleRowBandSize w:val="1"/>
      <w:tblStyleColBandSize w:val="1"/>
      <w:tblBorders>
        <w:top w:val="single" w:sz="8" w:space="0" w:color="84C98F" w:themeColor="accent4"/>
        <w:left w:val="single" w:sz="8" w:space="0" w:color="84C98F" w:themeColor="accent4"/>
        <w:bottom w:val="single" w:sz="8" w:space="0" w:color="84C98F" w:themeColor="accent4"/>
        <w:right w:val="single" w:sz="8" w:space="0" w:color="84C98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4C98F" w:themeFill="accent4"/>
      </w:tcPr>
    </w:tblStylePr>
    <w:tblStylePr w:type="lastRow">
      <w:pPr>
        <w:spacing w:before="0" w:after="0" w:line="240" w:lineRule="auto"/>
      </w:pPr>
      <w:rPr>
        <w:b/>
        <w:bCs/>
      </w:rPr>
      <w:tblPr/>
      <w:tcPr>
        <w:tcBorders>
          <w:top w:val="double" w:sz="6" w:space="0" w:color="84C98F" w:themeColor="accent4"/>
          <w:left w:val="single" w:sz="8" w:space="0" w:color="84C98F" w:themeColor="accent4"/>
          <w:bottom w:val="single" w:sz="8" w:space="0" w:color="84C98F" w:themeColor="accent4"/>
          <w:right w:val="single" w:sz="8" w:space="0" w:color="84C98F" w:themeColor="accent4"/>
        </w:tcBorders>
      </w:tcPr>
    </w:tblStylePr>
    <w:tblStylePr w:type="firstCol">
      <w:rPr>
        <w:b/>
        <w:bCs/>
      </w:rPr>
    </w:tblStylePr>
    <w:tblStylePr w:type="lastCol">
      <w:rPr>
        <w:b/>
        <w:bCs/>
      </w:rPr>
    </w:tblStylePr>
    <w:tblStylePr w:type="band1Vert">
      <w:tblPr/>
      <w:tcPr>
        <w:tcBorders>
          <w:top w:val="single" w:sz="8" w:space="0" w:color="84C98F" w:themeColor="accent4"/>
          <w:left w:val="single" w:sz="8" w:space="0" w:color="84C98F" w:themeColor="accent4"/>
          <w:bottom w:val="single" w:sz="8" w:space="0" w:color="84C98F" w:themeColor="accent4"/>
          <w:right w:val="single" w:sz="8" w:space="0" w:color="84C98F" w:themeColor="accent4"/>
        </w:tcBorders>
      </w:tcPr>
    </w:tblStylePr>
    <w:tblStylePr w:type="band1Horz">
      <w:tblPr/>
      <w:tcPr>
        <w:tcBorders>
          <w:top w:val="single" w:sz="8" w:space="0" w:color="84C98F" w:themeColor="accent4"/>
          <w:left w:val="single" w:sz="8" w:space="0" w:color="84C98F" w:themeColor="accent4"/>
          <w:bottom w:val="single" w:sz="8" w:space="0" w:color="84C98F" w:themeColor="accent4"/>
          <w:right w:val="single" w:sz="8" w:space="0" w:color="84C98F" w:themeColor="accent4"/>
        </w:tcBorders>
      </w:tcPr>
    </w:tblStylePr>
  </w:style>
  <w:style w:type="table" w:styleId="LightList-Accent5">
    <w:name w:val="Light List Accent 5"/>
    <w:basedOn w:val="TableNormal"/>
    <w:uiPriority w:val="61"/>
    <w:rsid w:val="00831F70"/>
    <w:rPr>
      <w:rFonts w:eastAsia="MS Mincho"/>
      <w:lang w:val="en-GB" w:eastAsia="en-GB"/>
    </w:rPr>
    <w:tblPr>
      <w:tblStyleRowBandSize w:val="1"/>
      <w:tblStyleColBandSize w:val="1"/>
      <w:tblBorders>
        <w:top w:val="single" w:sz="8" w:space="0" w:color="F1AC1E" w:themeColor="accent5"/>
        <w:left w:val="single" w:sz="8" w:space="0" w:color="F1AC1E" w:themeColor="accent5"/>
        <w:bottom w:val="single" w:sz="8" w:space="0" w:color="F1AC1E" w:themeColor="accent5"/>
        <w:right w:val="single" w:sz="8" w:space="0" w:color="F1AC1E"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1AC1E" w:themeFill="accent5"/>
      </w:tcPr>
    </w:tblStylePr>
    <w:tblStylePr w:type="lastRow">
      <w:pPr>
        <w:spacing w:before="0" w:after="0" w:line="240" w:lineRule="auto"/>
      </w:pPr>
      <w:rPr>
        <w:b/>
        <w:bCs/>
      </w:rPr>
      <w:tblPr/>
      <w:tcPr>
        <w:tcBorders>
          <w:top w:val="double" w:sz="6" w:space="0" w:color="F1AC1E" w:themeColor="accent5"/>
          <w:left w:val="single" w:sz="8" w:space="0" w:color="F1AC1E" w:themeColor="accent5"/>
          <w:bottom w:val="single" w:sz="8" w:space="0" w:color="F1AC1E" w:themeColor="accent5"/>
          <w:right w:val="single" w:sz="8" w:space="0" w:color="F1AC1E" w:themeColor="accent5"/>
        </w:tcBorders>
      </w:tcPr>
    </w:tblStylePr>
    <w:tblStylePr w:type="firstCol">
      <w:rPr>
        <w:b/>
        <w:bCs/>
      </w:rPr>
    </w:tblStylePr>
    <w:tblStylePr w:type="lastCol">
      <w:rPr>
        <w:b/>
        <w:bCs/>
      </w:rPr>
    </w:tblStylePr>
    <w:tblStylePr w:type="band1Vert">
      <w:tblPr/>
      <w:tcPr>
        <w:tcBorders>
          <w:top w:val="single" w:sz="8" w:space="0" w:color="F1AC1E" w:themeColor="accent5"/>
          <w:left w:val="single" w:sz="8" w:space="0" w:color="F1AC1E" w:themeColor="accent5"/>
          <w:bottom w:val="single" w:sz="8" w:space="0" w:color="F1AC1E" w:themeColor="accent5"/>
          <w:right w:val="single" w:sz="8" w:space="0" w:color="F1AC1E" w:themeColor="accent5"/>
        </w:tcBorders>
      </w:tcPr>
    </w:tblStylePr>
    <w:tblStylePr w:type="band1Horz">
      <w:tblPr/>
      <w:tcPr>
        <w:tcBorders>
          <w:top w:val="single" w:sz="8" w:space="0" w:color="F1AC1E" w:themeColor="accent5"/>
          <w:left w:val="single" w:sz="8" w:space="0" w:color="F1AC1E" w:themeColor="accent5"/>
          <w:bottom w:val="single" w:sz="8" w:space="0" w:color="F1AC1E" w:themeColor="accent5"/>
          <w:right w:val="single" w:sz="8" w:space="0" w:color="F1AC1E" w:themeColor="accent5"/>
        </w:tcBorders>
      </w:tcPr>
    </w:tblStylePr>
  </w:style>
  <w:style w:type="table" w:styleId="LightList-Accent6">
    <w:name w:val="Light List Accent 6"/>
    <w:basedOn w:val="TableNormal"/>
    <w:uiPriority w:val="61"/>
    <w:rsid w:val="00831F70"/>
    <w:rPr>
      <w:rFonts w:eastAsia="MS Mincho"/>
      <w:lang w:val="en-GB" w:eastAsia="en-GB"/>
    </w:rPr>
    <w:tblPr>
      <w:tblStyleRowBandSize w:val="1"/>
      <w:tblStyleColBandSize w:val="1"/>
      <w:tblBorders>
        <w:top w:val="single" w:sz="8" w:space="0" w:color="1D1A46" w:themeColor="accent6"/>
        <w:left w:val="single" w:sz="8" w:space="0" w:color="1D1A46" w:themeColor="accent6"/>
        <w:bottom w:val="single" w:sz="8" w:space="0" w:color="1D1A46" w:themeColor="accent6"/>
        <w:right w:val="single" w:sz="8" w:space="0" w:color="1D1A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1D1A46" w:themeFill="accent6"/>
      </w:tcPr>
    </w:tblStylePr>
    <w:tblStylePr w:type="lastRow">
      <w:pPr>
        <w:spacing w:before="0" w:after="0" w:line="240" w:lineRule="auto"/>
      </w:pPr>
      <w:rPr>
        <w:b/>
        <w:bCs/>
      </w:rPr>
      <w:tblPr/>
      <w:tcPr>
        <w:tcBorders>
          <w:top w:val="double" w:sz="6" w:space="0" w:color="1D1A46" w:themeColor="accent6"/>
          <w:left w:val="single" w:sz="8" w:space="0" w:color="1D1A46" w:themeColor="accent6"/>
          <w:bottom w:val="single" w:sz="8" w:space="0" w:color="1D1A46" w:themeColor="accent6"/>
          <w:right w:val="single" w:sz="8" w:space="0" w:color="1D1A46" w:themeColor="accent6"/>
        </w:tcBorders>
      </w:tcPr>
    </w:tblStylePr>
    <w:tblStylePr w:type="firstCol">
      <w:rPr>
        <w:b/>
        <w:bCs/>
      </w:rPr>
    </w:tblStylePr>
    <w:tblStylePr w:type="lastCol">
      <w:rPr>
        <w:b/>
        <w:bCs/>
      </w:rPr>
    </w:tblStylePr>
    <w:tblStylePr w:type="band1Vert">
      <w:tblPr/>
      <w:tcPr>
        <w:tcBorders>
          <w:top w:val="single" w:sz="8" w:space="0" w:color="1D1A46" w:themeColor="accent6"/>
          <w:left w:val="single" w:sz="8" w:space="0" w:color="1D1A46" w:themeColor="accent6"/>
          <w:bottom w:val="single" w:sz="8" w:space="0" w:color="1D1A46" w:themeColor="accent6"/>
          <w:right w:val="single" w:sz="8" w:space="0" w:color="1D1A46" w:themeColor="accent6"/>
        </w:tcBorders>
      </w:tcPr>
    </w:tblStylePr>
    <w:tblStylePr w:type="band1Horz">
      <w:tblPr/>
      <w:tcPr>
        <w:tcBorders>
          <w:top w:val="single" w:sz="8" w:space="0" w:color="1D1A46" w:themeColor="accent6"/>
          <w:left w:val="single" w:sz="8" w:space="0" w:color="1D1A46" w:themeColor="accent6"/>
          <w:bottom w:val="single" w:sz="8" w:space="0" w:color="1D1A46" w:themeColor="accent6"/>
          <w:right w:val="single" w:sz="8" w:space="0" w:color="1D1A46" w:themeColor="accent6"/>
        </w:tcBorders>
      </w:tcPr>
    </w:tblStylePr>
  </w:style>
  <w:style w:type="table" w:styleId="LightShading">
    <w:name w:val="Light Shading"/>
    <w:basedOn w:val="TableNormal"/>
    <w:uiPriority w:val="60"/>
    <w:rsid w:val="00831F70"/>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31F70"/>
    <w:rPr>
      <w:rFonts w:eastAsia="MS Mincho"/>
      <w:color w:val="252E35" w:themeColor="accent1" w:themeShade="BF"/>
      <w:lang w:val="en-GB" w:eastAsia="en-GB"/>
    </w:rPr>
    <w:tblPr>
      <w:tblStyleRowBandSize w:val="1"/>
      <w:tblStyleColBandSize w:val="1"/>
      <w:tblBorders>
        <w:top w:val="single" w:sz="8" w:space="0" w:color="323E48" w:themeColor="accent1"/>
        <w:bottom w:val="single" w:sz="8" w:space="0" w:color="323E48"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23E48" w:themeColor="accent1"/>
          <w:left w:val="nil"/>
          <w:bottom w:val="single" w:sz="8" w:space="0" w:color="323E48" w:themeColor="accent1"/>
          <w:right w:val="nil"/>
          <w:insideH w:val="nil"/>
          <w:insideV w:val="nil"/>
        </w:tcBorders>
      </w:tcPr>
    </w:tblStylePr>
    <w:tblStylePr w:type="lastRow">
      <w:pPr>
        <w:spacing w:before="0" w:after="0" w:line="240" w:lineRule="auto"/>
      </w:pPr>
      <w:rPr>
        <w:b/>
        <w:bCs/>
      </w:rPr>
      <w:tblPr/>
      <w:tcPr>
        <w:tcBorders>
          <w:top w:val="single" w:sz="8" w:space="0" w:color="323E48" w:themeColor="accent1"/>
          <w:left w:val="nil"/>
          <w:bottom w:val="single" w:sz="8" w:space="0" w:color="323E4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CFD7" w:themeFill="accent1" w:themeFillTint="3F"/>
      </w:tcPr>
    </w:tblStylePr>
    <w:tblStylePr w:type="band1Horz">
      <w:tblPr/>
      <w:tcPr>
        <w:tcBorders>
          <w:left w:val="nil"/>
          <w:right w:val="nil"/>
          <w:insideH w:val="nil"/>
          <w:insideV w:val="nil"/>
        </w:tcBorders>
        <w:shd w:val="clear" w:color="auto" w:fill="C6CFD7" w:themeFill="accent1" w:themeFillTint="3F"/>
      </w:tcPr>
    </w:tblStylePr>
  </w:style>
  <w:style w:type="table" w:styleId="LightShading-Accent2">
    <w:name w:val="Light Shading Accent 2"/>
    <w:basedOn w:val="TableNormal"/>
    <w:uiPriority w:val="60"/>
    <w:rsid w:val="00831F70"/>
    <w:rPr>
      <w:rFonts w:eastAsia="MS Mincho"/>
      <w:color w:val="248188" w:themeColor="accent2" w:themeShade="BF"/>
      <w:lang w:val="en-GB" w:eastAsia="en-GB"/>
    </w:rPr>
    <w:tblPr>
      <w:tblStyleRowBandSize w:val="1"/>
      <w:tblStyleColBandSize w:val="1"/>
      <w:tblBorders>
        <w:top w:val="single" w:sz="8" w:space="0" w:color="30AEB6" w:themeColor="accent2"/>
        <w:bottom w:val="single" w:sz="8" w:space="0" w:color="30AEB6"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0AEB6" w:themeColor="accent2"/>
          <w:left w:val="nil"/>
          <w:bottom w:val="single" w:sz="8" w:space="0" w:color="30AEB6" w:themeColor="accent2"/>
          <w:right w:val="nil"/>
          <w:insideH w:val="nil"/>
          <w:insideV w:val="nil"/>
        </w:tcBorders>
      </w:tcPr>
    </w:tblStylePr>
    <w:tblStylePr w:type="lastRow">
      <w:pPr>
        <w:spacing w:before="0" w:after="0" w:line="240" w:lineRule="auto"/>
      </w:pPr>
      <w:rPr>
        <w:b/>
        <w:bCs/>
      </w:rPr>
      <w:tblPr/>
      <w:tcPr>
        <w:tcBorders>
          <w:top w:val="single" w:sz="8" w:space="0" w:color="30AEB6" w:themeColor="accent2"/>
          <w:left w:val="nil"/>
          <w:bottom w:val="single" w:sz="8" w:space="0" w:color="30AEB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EF0" w:themeFill="accent2" w:themeFillTint="3F"/>
      </w:tcPr>
    </w:tblStylePr>
    <w:tblStylePr w:type="band1Horz">
      <w:tblPr/>
      <w:tcPr>
        <w:tcBorders>
          <w:left w:val="nil"/>
          <w:right w:val="nil"/>
          <w:insideH w:val="nil"/>
          <w:insideV w:val="nil"/>
        </w:tcBorders>
        <w:shd w:val="clear" w:color="auto" w:fill="C8EEF0" w:themeFill="accent2" w:themeFillTint="3F"/>
      </w:tcPr>
    </w:tblStylePr>
  </w:style>
  <w:style w:type="table" w:styleId="LightShading-Accent3">
    <w:name w:val="Light Shading Accent 3"/>
    <w:basedOn w:val="TableNormal"/>
    <w:uiPriority w:val="60"/>
    <w:rsid w:val="00831F70"/>
    <w:rPr>
      <w:rFonts w:eastAsia="MS Mincho"/>
      <w:color w:val="A83019" w:themeColor="accent3" w:themeShade="BF"/>
      <w:lang w:val="en-GB" w:eastAsia="en-GB"/>
    </w:rPr>
    <w:tblPr>
      <w:tblStyleRowBandSize w:val="1"/>
      <w:tblStyleColBandSize w:val="1"/>
      <w:tblBorders>
        <w:top w:val="single" w:sz="8" w:space="0" w:color="DE4326" w:themeColor="accent3"/>
        <w:bottom w:val="single" w:sz="8" w:space="0" w:color="DE4326"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E4326" w:themeColor="accent3"/>
          <w:left w:val="nil"/>
          <w:bottom w:val="single" w:sz="8" w:space="0" w:color="DE4326" w:themeColor="accent3"/>
          <w:right w:val="nil"/>
          <w:insideH w:val="nil"/>
          <w:insideV w:val="nil"/>
        </w:tcBorders>
      </w:tcPr>
    </w:tblStylePr>
    <w:tblStylePr w:type="lastRow">
      <w:pPr>
        <w:spacing w:before="0" w:after="0" w:line="240" w:lineRule="auto"/>
      </w:pPr>
      <w:rPr>
        <w:b/>
        <w:bCs/>
      </w:rPr>
      <w:tblPr/>
      <w:tcPr>
        <w:tcBorders>
          <w:top w:val="single" w:sz="8" w:space="0" w:color="DE4326" w:themeColor="accent3"/>
          <w:left w:val="nil"/>
          <w:bottom w:val="single" w:sz="8" w:space="0" w:color="DE4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0C9" w:themeFill="accent3" w:themeFillTint="3F"/>
      </w:tcPr>
    </w:tblStylePr>
    <w:tblStylePr w:type="band1Horz">
      <w:tblPr/>
      <w:tcPr>
        <w:tcBorders>
          <w:left w:val="nil"/>
          <w:right w:val="nil"/>
          <w:insideH w:val="nil"/>
          <w:insideV w:val="nil"/>
        </w:tcBorders>
        <w:shd w:val="clear" w:color="auto" w:fill="F6D0C9" w:themeFill="accent3" w:themeFillTint="3F"/>
      </w:tcPr>
    </w:tblStylePr>
  </w:style>
  <w:style w:type="table" w:styleId="LightShading-Accent4">
    <w:name w:val="Light Shading Accent 4"/>
    <w:basedOn w:val="TableNormal"/>
    <w:uiPriority w:val="60"/>
    <w:rsid w:val="00831F70"/>
    <w:rPr>
      <w:rFonts w:eastAsia="MS Mincho"/>
      <w:color w:val="4CAD5B" w:themeColor="accent4" w:themeShade="BF"/>
      <w:lang w:val="en-GB" w:eastAsia="en-GB"/>
    </w:rPr>
    <w:tblPr>
      <w:tblStyleRowBandSize w:val="1"/>
      <w:tblStyleColBandSize w:val="1"/>
      <w:tblBorders>
        <w:top w:val="single" w:sz="8" w:space="0" w:color="84C98F" w:themeColor="accent4"/>
        <w:bottom w:val="single" w:sz="8" w:space="0" w:color="84C98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4C98F" w:themeColor="accent4"/>
          <w:left w:val="nil"/>
          <w:bottom w:val="single" w:sz="8" w:space="0" w:color="84C98F" w:themeColor="accent4"/>
          <w:right w:val="nil"/>
          <w:insideH w:val="nil"/>
          <w:insideV w:val="nil"/>
        </w:tcBorders>
      </w:tcPr>
    </w:tblStylePr>
    <w:tblStylePr w:type="lastRow">
      <w:pPr>
        <w:spacing w:before="0" w:after="0" w:line="240" w:lineRule="auto"/>
      </w:pPr>
      <w:rPr>
        <w:b/>
        <w:bCs/>
      </w:rPr>
      <w:tblPr/>
      <w:tcPr>
        <w:tcBorders>
          <w:top w:val="single" w:sz="8" w:space="0" w:color="84C98F" w:themeColor="accent4"/>
          <w:left w:val="nil"/>
          <w:bottom w:val="single" w:sz="8" w:space="0" w:color="84C98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F1E3" w:themeFill="accent4" w:themeFillTint="3F"/>
      </w:tcPr>
    </w:tblStylePr>
    <w:tblStylePr w:type="band1Horz">
      <w:tblPr/>
      <w:tcPr>
        <w:tcBorders>
          <w:left w:val="nil"/>
          <w:right w:val="nil"/>
          <w:insideH w:val="nil"/>
          <w:insideV w:val="nil"/>
        </w:tcBorders>
        <w:shd w:val="clear" w:color="auto" w:fill="E0F1E3" w:themeFill="accent4" w:themeFillTint="3F"/>
      </w:tcPr>
    </w:tblStylePr>
  </w:style>
  <w:style w:type="table" w:styleId="LightShading-Accent5">
    <w:name w:val="Light Shading Accent 5"/>
    <w:basedOn w:val="TableNormal"/>
    <w:uiPriority w:val="60"/>
    <w:rsid w:val="00831F70"/>
    <w:rPr>
      <w:rFonts w:eastAsia="MS Mincho"/>
      <w:color w:val="BE830C" w:themeColor="accent5" w:themeShade="BF"/>
      <w:lang w:val="en-GB" w:eastAsia="en-GB"/>
    </w:rPr>
    <w:tblPr>
      <w:tblStyleRowBandSize w:val="1"/>
      <w:tblStyleColBandSize w:val="1"/>
      <w:tblBorders>
        <w:top w:val="single" w:sz="8" w:space="0" w:color="F1AC1E" w:themeColor="accent5"/>
        <w:bottom w:val="single" w:sz="8" w:space="0" w:color="F1AC1E"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1AC1E" w:themeColor="accent5"/>
          <w:left w:val="nil"/>
          <w:bottom w:val="single" w:sz="8" w:space="0" w:color="F1AC1E" w:themeColor="accent5"/>
          <w:right w:val="nil"/>
          <w:insideH w:val="nil"/>
          <w:insideV w:val="nil"/>
        </w:tcBorders>
      </w:tcPr>
    </w:tblStylePr>
    <w:tblStylePr w:type="lastRow">
      <w:pPr>
        <w:spacing w:before="0" w:after="0" w:line="240" w:lineRule="auto"/>
      </w:pPr>
      <w:rPr>
        <w:b/>
        <w:bCs/>
      </w:rPr>
      <w:tblPr/>
      <w:tcPr>
        <w:tcBorders>
          <w:top w:val="single" w:sz="8" w:space="0" w:color="F1AC1E" w:themeColor="accent5"/>
          <w:left w:val="nil"/>
          <w:bottom w:val="single" w:sz="8" w:space="0" w:color="F1AC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AC7" w:themeFill="accent5" w:themeFillTint="3F"/>
      </w:tcPr>
    </w:tblStylePr>
    <w:tblStylePr w:type="band1Horz">
      <w:tblPr/>
      <w:tcPr>
        <w:tcBorders>
          <w:left w:val="nil"/>
          <w:right w:val="nil"/>
          <w:insideH w:val="nil"/>
          <w:insideV w:val="nil"/>
        </w:tcBorders>
        <w:shd w:val="clear" w:color="auto" w:fill="FBEAC7" w:themeFill="accent5" w:themeFillTint="3F"/>
      </w:tcPr>
    </w:tblStylePr>
  </w:style>
  <w:style w:type="table" w:styleId="LightShading-Accent6">
    <w:name w:val="Light Shading Accent 6"/>
    <w:basedOn w:val="TableNormal"/>
    <w:uiPriority w:val="60"/>
    <w:rsid w:val="00831F70"/>
    <w:rPr>
      <w:rFonts w:eastAsia="MS Mincho"/>
      <w:color w:val="151334" w:themeColor="accent6" w:themeShade="BF"/>
      <w:lang w:val="en-GB" w:eastAsia="en-GB"/>
    </w:rPr>
    <w:tblPr>
      <w:tblStyleRowBandSize w:val="1"/>
      <w:tblStyleColBandSize w:val="1"/>
      <w:tblBorders>
        <w:top w:val="single" w:sz="8" w:space="0" w:color="1D1A46" w:themeColor="accent6"/>
        <w:bottom w:val="single" w:sz="8" w:space="0" w:color="1D1A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1D1A46" w:themeColor="accent6"/>
          <w:left w:val="nil"/>
          <w:bottom w:val="single" w:sz="8" w:space="0" w:color="1D1A46" w:themeColor="accent6"/>
          <w:right w:val="nil"/>
          <w:insideH w:val="nil"/>
          <w:insideV w:val="nil"/>
        </w:tcBorders>
      </w:tcPr>
    </w:tblStylePr>
    <w:tblStylePr w:type="lastRow">
      <w:pPr>
        <w:spacing w:before="0" w:after="0" w:line="240" w:lineRule="auto"/>
      </w:pPr>
      <w:rPr>
        <w:b/>
        <w:bCs/>
      </w:rPr>
      <w:tblPr/>
      <w:tcPr>
        <w:tcBorders>
          <w:top w:val="single" w:sz="8" w:space="0" w:color="1D1A46" w:themeColor="accent6"/>
          <w:left w:val="nil"/>
          <w:bottom w:val="single" w:sz="8" w:space="0" w:color="1D1A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B4E3" w:themeFill="accent6" w:themeFillTint="3F"/>
      </w:tcPr>
    </w:tblStylePr>
    <w:tblStylePr w:type="band1Horz">
      <w:tblPr/>
      <w:tcPr>
        <w:tcBorders>
          <w:left w:val="nil"/>
          <w:right w:val="nil"/>
          <w:insideH w:val="nil"/>
          <w:insideV w:val="nil"/>
        </w:tcBorders>
        <w:shd w:val="clear" w:color="auto" w:fill="B7B4E3" w:themeFill="accent6" w:themeFillTint="3F"/>
      </w:tcPr>
    </w:tblStylePr>
  </w:style>
  <w:style w:type="character" w:styleId="LineNumber">
    <w:name w:val="line number"/>
    <w:basedOn w:val="DefaultParagraphFont"/>
    <w:uiPriority w:val="99"/>
    <w:semiHidden/>
    <w:unhideWhenUsed/>
    <w:rsid w:val="000D6626"/>
  </w:style>
  <w:style w:type="paragraph" w:styleId="List">
    <w:name w:val="List"/>
    <w:basedOn w:val="Normal"/>
    <w:uiPriority w:val="99"/>
    <w:semiHidden/>
    <w:unhideWhenUsed/>
    <w:rsid w:val="000D6626"/>
    <w:pPr>
      <w:ind w:left="283" w:hanging="283"/>
      <w:contextualSpacing/>
    </w:pPr>
  </w:style>
  <w:style w:type="paragraph" w:styleId="List2">
    <w:name w:val="List 2"/>
    <w:basedOn w:val="Normal"/>
    <w:uiPriority w:val="99"/>
    <w:semiHidden/>
    <w:unhideWhenUsed/>
    <w:rsid w:val="000D6626"/>
    <w:pPr>
      <w:ind w:left="566" w:hanging="283"/>
      <w:contextualSpacing/>
    </w:pPr>
  </w:style>
  <w:style w:type="paragraph" w:styleId="List3">
    <w:name w:val="List 3"/>
    <w:basedOn w:val="Normal"/>
    <w:uiPriority w:val="99"/>
    <w:semiHidden/>
    <w:unhideWhenUsed/>
    <w:rsid w:val="000D6626"/>
    <w:pPr>
      <w:ind w:left="849" w:hanging="283"/>
      <w:contextualSpacing/>
    </w:pPr>
  </w:style>
  <w:style w:type="paragraph" w:styleId="List4">
    <w:name w:val="List 4"/>
    <w:basedOn w:val="Normal"/>
    <w:uiPriority w:val="99"/>
    <w:semiHidden/>
    <w:unhideWhenUsed/>
    <w:rsid w:val="000D6626"/>
    <w:pPr>
      <w:ind w:left="1132" w:hanging="283"/>
      <w:contextualSpacing/>
    </w:pPr>
  </w:style>
  <w:style w:type="paragraph" w:styleId="List5">
    <w:name w:val="List 5"/>
    <w:basedOn w:val="Normal"/>
    <w:uiPriority w:val="99"/>
    <w:semiHidden/>
    <w:unhideWhenUsed/>
    <w:rsid w:val="000D6626"/>
    <w:pPr>
      <w:ind w:left="1415" w:hanging="283"/>
      <w:contextualSpacing/>
    </w:pPr>
  </w:style>
  <w:style w:type="paragraph" w:styleId="ListBullet2">
    <w:name w:val="List Bullet 2"/>
    <w:basedOn w:val="Normal"/>
    <w:uiPriority w:val="2"/>
    <w:rsid w:val="00C002E6"/>
    <w:pPr>
      <w:numPr>
        <w:ilvl w:val="1"/>
        <w:numId w:val="16"/>
      </w:numPr>
      <w:spacing w:after="57"/>
    </w:pPr>
  </w:style>
  <w:style w:type="paragraph" w:styleId="ListBullet3">
    <w:name w:val="List Bullet 3"/>
    <w:basedOn w:val="Normal"/>
    <w:uiPriority w:val="2"/>
    <w:rsid w:val="00C002E6"/>
    <w:pPr>
      <w:numPr>
        <w:ilvl w:val="2"/>
        <w:numId w:val="16"/>
      </w:numPr>
      <w:spacing w:after="57"/>
    </w:pPr>
  </w:style>
  <w:style w:type="paragraph" w:styleId="ListBullet4">
    <w:name w:val="List Bullet 4"/>
    <w:basedOn w:val="Normal"/>
    <w:uiPriority w:val="99"/>
    <w:semiHidden/>
    <w:unhideWhenUsed/>
    <w:rsid w:val="000D6626"/>
    <w:pPr>
      <w:ind w:left="643" w:hanging="360"/>
      <w:contextualSpacing/>
    </w:pPr>
  </w:style>
  <w:style w:type="paragraph" w:styleId="ListBullet5">
    <w:name w:val="List Bullet 5"/>
    <w:basedOn w:val="Normal"/>
    <w:uiPriority w:val="99"/>
    <w:semiHidden/>
    <w:unhideWhenUsed/>
    <w:rsid w:val="000D6626"/>
    <w:pPr>
      <w:tabs>
        <w:tab w:val="num" w:pos="360"/>
      </w:tabs>
      <w:ind w:left="360" w:hanging="360"/>
      <w:contextualSpacing/>
    </w:pPr>
  </w:style>
  <w:style w:type="paragraph" w:styleId="ListContinue2">
    <w:name w:val="List Continue 2"/>
    <w:basedOn w:val="Normal"/>
    <w:uiPriority w:val="99"/>
    <w:semiHidden/>
    <w:unhideWhenUsed/>
    <w:rsid w:val="000D6626"/>
    <w:pPr>
      <w:ind w:left="566"/>
      <w:contextualSpacing/>
    </w:pPr>
  </w:style>
  <w:style w:type="paragraph" w:styleId="ListContinue3">
    <w:name w:val="List Continue 3"/>
    <w:basedOn w:val="Normal"/>
    <w:uiPriority w:val="99"/>
    <w:semiHidden/>
    <w:unhideWhenUsed/>
    <w:rsid w:val="000D6626"/>
    <w:pPr>
      <w:ind w:left="849"/>
      <w:contextualSpacing/>
    </w:pPr>
  </w:style>
  <w:style w:type="paragraph" w:styleId="ListContinue4">
    <w:name w:val="List Continue 4"/>
    <w:basedOn w:val="Normal"/>
    <w:uiPriority w:val="99"/>
    <w:semiHidden/>
    <w:unhideWhenUsed/>
    <w:rsid w:val="000D6626"/>
    <w:pPr>
      <w:ind w:left="1132"/>
      <w:contextualSpacing/>
    </w:pPr>
  </w:style>
  <w:style w:type="paragraph" w:styleId="ListContinue5">
    <w:name w:val="List Continue 5"/>
    <w:basedOn w:val="Normal"/>
    <w:uiPriority w:val="99"/>
    <w:semiHidden/>
    <w:unhideWhenUsed/>
    <w:rsid w:val="000D6626"/>
    <w:pPr>
      <w:ind w:left="1415"/>
      <w:contextualSpacing/>
    </w:pPr>
  </w:style>
  <w:style w:type="paragraph" w:styleId="Caption">
    <w:name w:val="caption"/>
    <w:basedOn w:val="FigureCaption"/>
    <w:next w:val="Normal"/>
    <w:uiPriority w:val="35"/>
    <w:semiHidden/>
    <w:qFormat/>
    <w:rsid w:val="00180A39"/>
    <w:pPr>
      <w:jc w:val="left"/>
    </w:pPr>
    <w:rPr>
      <w:u w:val="none"/>
    </w:rPr>
  </w:style>
  <w:style w:type="paragraph" w:styleId="ListNumber3">
    <w:name w:val="List Number 3"/>
    <w:basedOn w:val="Normal"/>
    <w:uiPriority w:val="2"/>
    <w:rsid w:val="00C002E6"/>
    <w:pPr>
      <w:numPr>
        <w:ilvl w:val="2"/>
        <w:numId w:val="19"/>
      </w:numPr>
      <w:spacing w:after="57"/>
    </w:pPr>
  </w:style>
  <w:style w:type="paragraph" w:styleId="ListNumber4">
    <w:name w:val="List Number 4"/>
    <w:basedOn w:val="Normal"/>
    <w:uiPriority w:val="99"/>
    <w:semiHidden/>
    <w:unhideWhenUsed/>
    <w:rsid w:val="000D6626"/>
    <w:pPr>
      <w:ind w:left="720" w:hanging="360"/>
      <w:contextualSpacing/>
    </w:pPr>
  </w:style>
  <w:style w:type="paragraph" w:styleId="ListNumber5">
    <w:name w:val="List Number 5"/>
    <w:basedOn w:val="Normal"/>
    <w:uiPriority w:val="99"/>
    <w:semiHidden/>
    <w:unhideWhenUsed/>
    <w:rsid w:val="000D6626"/>
    <w:pPr>
      <w:numPr>
        <w:numId w:val="7"/>
      </w:numPr>
      <w:contextualSpacing/>
    </w:pPr>
  </w:style>
  <w:style w:type="paragraph" w:styleId="ListParagraph">
    <w:name w:val="List Paragraph"/>
    <w:basedOn w:val="Normal"/>
    <w:uiPriority w:val="34"/>
    <w:qFormat/>
    <w:rsid w:val="000D6626"/>
    <w:pPr>
      <w:ind w:left="720"/>
    </w:pPr>
  </w:style>
  <w:style w:type="paragraph" w:styleId="MacroText">
    <w:name w:val="macro"/>
    <w:link w:val="MacroTextChar"/>
    <w:uiPriority w:val="99"/>
    <w:semiHidden/>
    <w:unhideWhenUsed/>
    <w:rsid w:val="000D6626"/>
    <w:pPr>
      <w:tabs>
        <w:tab w:val="left" w:pos="480"/>
        <w:tab w:val="left" w:pos="960"/>
        <w:tab w:val="left" w:pos="1440"/>
        <w:tab w:val="left" w:pos="1920"/>
        <w:tab w:val="left" w:pos="2400"/>
        <w:tab w:val="left" w:pos="2880"/>
        <w:tab w:val="left" w:pos="3360"/>
        <w:tab w:val="left" w:pos="3840"/>
        <w:tab w:val="left" w:pos="4320"/>
      </w:tabs>
      <w:spacing w:line="280" w:lineRule="atLeast"/>
    </w:pPr>
    <w:rPr>
      <w:rFonts w:ascii="Consolas" w:hAnsi="Consolas" w:cs="Consolas"/>
    </w:rPr>
  </w:style>
  <w:style w:type="character" w:customStyle="1" w:styleId="MacroTextChar">
    <w:name w:val="Macro Text Char"/>
    <w:basedOn w:val="DefaultParagraphFont"/>
    <w:link w:val="MacroText"/>
    <w:uiPriority w:val="99"/>
    <w:semiHidden/>
    <w:rsid w:val="000D6626"/>
    <w:rPr>
      <w:rFonts w:ascii="Consolas" w:hAnsi="Consolas" w:cs="Consolas"/>
    </w:rPr>
  </w:style>
  <w:style w:type="table" w:styleId="MediumGrid1">
    <w:name w:val="Medium Grid 1"/>
    <w:basedOn w:val="TableNormal"/>
    <w:uiPriority w:val="67"/>
    <w:rsid w:val="00831F70"/>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831F70"/>
    <w:rPr>
      <w:rFonts w:eastAsia="MS Mincho"/>
      <w:lang w:val="en-GB" w:eastAsia="en-GB"/>
    </w:rPr>
    <w:tblPr>
      <w:tblStyleRowBandSize w:val="1"/>
      <w:tblStyleColBandSize w:val="1"/>
      <w:tblBorders>
        <w:top w:val="single" w:sz="8" w:space="0" w:color="5A6F81" w:themeColor="accent1" w:themeTint="BF"/>
        <w:left w:val="single" w:sz="8" w:space="0" w:color="5A6F81" w:themeColor="accent1" w:themeTint="BF"/>
        <w:bottom w:val="single" w:sz="8" w:space="0" w:color="5A6F81" w:themeColor="accent1" w:themeTint="BF"/>
        <w:right w:val="single" w:sz="8" w:space="0" w:color="5A6F81" w:themeColor="accent1" w:themeTint="BF"/>
        <w:insideH w:val="single" w:sz="8" w:space="0" w:color="5A6F81" w:themeColor="accent1" w:themeTint="BF"/>
        <w:insideV w:val="single" w:sz="8" w:space="0" w:color="5A6F81" w:themeColor="accent1" w:themeTint="BF"/>
      </w:tblBorders>
    </w:tblPr>
    <w:tcPr>
      <w:shd w:val="clear" w:color="auto" w:fill="C6CFD7"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5A6F81" w:themeColor="accent1" w:themeTint="BF"/>
        </w:tcBorders>
      </w:tcPr>
    </w:tblStylePr>
    <w:tblStylePr w:type="firstCol">
      <w:rPr>
        <w:b/>
        <w:bCs/>
      </w:rPr>
    </w:tblStylePr>
    <w:tblStylePr w:type="lastCol">
      <w:rPr>
        <w:b/>
        <w:bCs/>
      </w:rPr>
    </w:tblStylePr>
    <w:tblStylePr w:type="band1Vert">
      <w:tblPr/>
      <w:tcPr>
        <w:shd w:val="clear" w:color="auto" w:fill="8C9FAF" w:themeFill="accent1" w:themeFillTint="7F"/>
      </w:tcPr>
    </w:tblStylePr>
    <w:tblStylePr w:type="band1Horz">
      <w:tblPr/>
      <w:tcPr>
        <w:shd w:val="clear" w:color="auto" w:fill="8C9FAF" w:themeFill="accent1" w:themeFillTint="7F"/>
      </w:tcPr>
    </w:tblStylePr>
  </w:style>
  <w:style w:type="table" w:styleId="MediumGrid1-Accent2">
    <w:name w:val="Medium Grid 1 Accent 2"/>
    <w:basedOn w:val="TableNormal"/>
    <w:uiPriority w:val="67"/>
    <w:rsid w:val="00831F70"/>
    <w:rPr>
      <w:rFonts w:eastAsia="MS Mincho"/>
      <w:lang w:val="en-GB" w:eastAsia="en-GB"/>
    </w:rPr>
    <w:tblPr>
      <w:tblStyleRowBandSize w:val="1"/>
      <w:tblStyleColBandSize w:val="1"/>
      <w:tblBorders>
        <w:top w:val="single" w:sz="8" w:space="0" w:color="58CBD3" w:themeColor="accent2" w:themeTint="BF"/>
        <w:left w:val="single" w:sz="8" w:space="0" w:color="58CBD3" w:themeColor="accent2" w:themeTint="BF"/>
        <w:bottom w:val="single" w:sz="8" w:space="0" w:color="58CBD3" w:themeColor="accent2" w:themeTint="BF"/>
        <w:right w:val="single" w:sz="8" w:space="0" w:color="58CBD3" w:themeColor="accent2" w:themeTint="BF"/>
        <w:insideH w:val="single" w:sz="8" w:space="0" w:color="58CBD3" w:themeColor="accent2" w:themeTint="BF"/>
        <w:insideV w:val="single" w:sz="8" w:space="0" w:color="58CBD3" w:themeColor="accent2" w:themeTint="BF"/>
      </w:tblBorders>
    </w:tblPr>
    <w:tcPr>
      <w:shd w:val="clear" w:color="auto" w:fill="C8EEF0"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58CBD3" w:themeColor="accent2" w:themeTint="BF"/>
        </w:tcBorders>
      </w:tcPr>
    </w:tblStylePr>
    <w:tblStylePr w:type="firstCol">
      <w:rPr>
        <w:b/>
        <w:bCs/>
      </w:rPr>
    </w:tblStylePr>
    <w:tblStylePr w:type="lastCol">
      <w:rPr>
        <w:b/>
        <w:bCs/>
      </w:rPr>
    </w:tblStylePr>
    <w:tblStylePr w:type="band1Vert">
      <w:tblPr/>
      <w:tcPr>
        <w:shd w:val="clear" w:color="auto" w:fill="90DCE2" w:themeFill="accent2" w:themeFillTint="7F"/>
      </w:tcPr>
    </w:tblStylePr>
    <w:tblStylePr w:type="band1Horz">
      <w:tblPr/>
      <w:tcPr>
        <w:shd w:val="clear" w:color="auto" w:fill="90DCE2" w:themeFill="accent2" w:themeFillTint="7F"/>
      </w:tcPr>
    </w:tblStylePr>
  </w:style>
  <w:style w:type="table" w:styleId="MediumGrid1-Accent3">
    <w:name w:val="Medium Grid 1 Accent 3"/>
    <w:basedOn w:val="TableNormal"/>
    <w:uiPriority w:val="67"/>
    <w:rsid w:val="00831F70"/>
    <w:rPr>
      <w:rFonts w:eastAsia="MS Mincho"/>
      <w:lang w:val="en-GB" w:eastAsia="en-GB"/>
    </w:rPr>
    <w:tblPr>
      <w:tblStyleRowBandSize w:val="1"/>
      <w:tblStyleColBandSize w:val="1"/>
      <w:tblBorders>
        <w:top w:val="single" w:sz="8" w:space="0" w:color="E6715C" w:themeColor="accent3" w:themeTint="BF"/>
        <w:left w:val="single" w:sz="8" w:space="0" w:color="E6715C" w:themeColor="accent3" w:themeTint="BF"/>
        <w:bottom w:val="single" w:sz="8" w:space="0" w:color="E6715C" w:themeColor="accent3" w:themeTint="BF"/>
        <w:right w:val="single" w:sz="8" w:space="0" w:color="E6715C" w:themeColor="accent3" w:themeTint="BF"/>
        <w:insideH w:val="single" w:sz="8" w:space="0" w:color="E6715C" w:themeColor="accent3" w:themeTint="BF"/>
        <w:insideV w:val="single" w:sz="8" w:space="0" w:color="E6715C" w:themeColor="accent3" w:themeTint="BF"/>
      </w:tblBorders>
    </w:tblPr>
    <w:tcPr>
      <w:shd w:val="clear" w:color="auto" w:fill="F6D0C9"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6715C" w:themeColor="accent3" w:themeTint="BF"/>
        </w:tcBorders>
      </w:tcPr>
    </w:tblStylePr>
    <w:tblStylePr w:type="firstCol">
      <w:rPr>
        <w:b/>
        <w:bCs/>
      </w:rPr>
    </w:tblStylePr>
    <w:tblStylePr w:type="lastCol">
      <w:rPr>
        <w:b/>
        <w:bCs/>
      </w:rPr>
    </w:tblStylePr>
    <w:tblStylePr w:type="band1Vert">
      <w:tblPr/>
      <w:tcPr>
        <w:shd w:val="clear" w:color="auto" w:fill="EEA192" w:themeFill="accent3" w:themeFillTint="7F"/>
      </w:tcPr>
    </w:tblStylePr>
    <w:tblStylePr w:type="band1Horz">
      <w:tblPr/>
      <w:tcPr>
        <w:shd w:val="clear" w:color="auto" w:fill="EEA192" w:themeFill="accent3" w:themeFillTint="7F"/>
      </w:tcPr>
    </w:tblStylePr>
  </w:style>
  <w:style w:type="table" w:styleId="MediumGrid1-Accent4">
    <w:name w:val="Medium Grid 1 Accent 4"/>
    <w:basedOn w:val="TableNormal"/>
    <w:uiPriority w:val="67"/>
    <w:rsid w:val="00831F70"/>
    <w:rPr>
      <w:rFonts w:eastAsia="MS Mincho"/>
      <w:lang w:val="en-GB" w:eastAsia="en-GB"/>
    </w:rPr>
    <w:tblPr>
      <w:tblStyleRowBandSize w:val="1"/>
      <w:tblStyleColBandSize w:val="1"/>
      <w:tblBorders>
        <w:top w:val="single" w:sz="8" w:space="0" w:color="A2D6AA" w:themeColor="accent4" w:themeTint="BF"/>
        <w:left w:val="single" w:sz="8" w:space="0" w:color="A2D6AA" w:themeColor="accent4" w:themeTint="BF"/>
        <w:bottom w:val="single" w:sz="8" w:space="0" w:color="A2D6AA" w:themeColor="accent4" w:themeTint="BF"/>
        <w:right w:val="single" w:sz="8" w:space="0" w:color="A2D6AA" w:themeColor="accent4" w:themeTint="BF"/>
        <w:insideH w:val="single" w:sz="8" w:space="0" w:color="A2D6AA" w:themeColor="accent4" w:themeTint="BF"/>
        <w:insideV w:val="single" w:sz="8" w:space="0" w:color="A2D6AA" w:themeColor="accent4" w:themeTint="BF"/>
      </w:tblBorders>
    </w:tblPr>
    <w:tcPr>
      <w:shd w:val="clear" w:color="auto" w:fill="E0F1E3"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A2D6AA" w:themeColor="accent4" w:themeTint="BF"/>
        </w:tcBorders>
      </w:tcPr>
    </w:tblStylePr>
    <w:tblStylePr w:type="firstCol">
      <w:rPr>
        <w:b/>
        <w:bCs/>
      </w:rPr>
    </w:tblStylePr>
    <w:tblStylePr w:type="lastCol">
      <w:rPr>
        <w:b/>
        <w:bCs/>
      </w:rPr>
    </w:tblStylePr>
    <w:tblStylePr w:type="band1Vert">
      <w:tblPr/>
      <w:tcPr>
        <w:shd w:val="clear" w:color="auto" w:fill="C1E4C6" w:themeFill="accent4" w:themeFillTint="7F"/>
      </w:tcPr>
    </w:tblStylePr>
    <w:tblStylePr w:type="band1Horz">
      <w:tblPr/>
      <w:tcPr>
        <w:shd w:val="clear" w:color="auto" w:fill="C1E4C6" w:themeFill="accent4" w:themeFillTint="7F"/>
      </w:tcPr>
    </w:tblStylePr>
  </w:style>
  <w:style w:type="table" w:styleId="MediumGrid1-Accent5">
    <w:name w:val="Medium Grid 1 Accent 5"/>
    <w:basedOn w:val="TableNormal"/>
    <w:uiPriority w:val="67"/>
    <w:rsid w:val="00831F70"/>
    <w:rPr>
      <w:rFonts w:eastAsia="MS Mincho"/>
      <w:lang w:val="en-GB" w:eastAsia="en-GB"/>
    </w:rPr>
    <w:tblPr>
      <w:tblStyleRowBandSize w:val="1"/>
      <w:tblStyleColBandSize w:val="1"/>
      <w:tblBorders>
        <w:top w:val="single" w:sz="8" w:space="0" w:color="F4C056" w:themeColor="accent5" w:themeTint="BF"/>
        <w:left w:val="single" w:sz="8" w:space="0" w:color="F4C056" w:themeColor="accent5" w:themeTint="BF"/>
        <w:bottom w:val="single" w:sz="8" w:space="0" w:color="F4C056" w:themeColor="accent5" w:themeTint="BF"/>
        <w:right w:val="single" w:sz="8" w:space="0" w:color="F4C056" w:themeColor="accent5" w:themeTint="BF"/>
        <w:insideH w:val="single" w:sz="8" w:space="0" w:color="F4C056" w:themeColor="accent5" w:themeTint="BF"/>
        <w:insideV w:val="single" w:sz="8" w:space="0" w:color="F4C056" w:themeColor="accent5" w:themeTint="BF"/>
      </w:tblBorders>
    </w:tblPr>
    <w:tcPr>
      <w:shd w:val="clear" w:color="auto" w:fill="FBEAC7"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4C056" w:themeColor="accent5" w:themeTint="BF"/>
        </w:tcBorders>
      </w:tcPr>
    </w:tblStylePr>
    <w:tblStylePr w:type="firstCol">
      <w:rPr>
        <w:b/>
        <w:bCs/>
      </w:rPr>
    </w:tblStylePr>
    <w:tblStylePr w:type="lastCol">
      <w:rPr>
        <w:b/>
        <w:bCs/>
      </w:rPr>
    </w:tblStylePr>
    <w:tblStylePr w:type="band1Vert">
      <w:tblPr/>
      <w:tcPr>
        <w:shd w:val="clear" w:color="auto" w:fill="F8D58E" w:themeFill="accent5" w:themeFillTint="7F"/>
      </w:tcPr>
    </w:tblStylePr>
    <w:tblStylePr w:type="band1Horz">
      <w:tblPr/>
      <w:tcPr>
        <w:shd w:val="clear" w:color="auto" w:fill="F8D58E" w:themeFill="accent5" w:themeFillTint="7F"/>
      </w:tcPr>
    </w:tblStylePr>
  </w:style>
  <w:style w:type="table" w:styleId="MediumGrid1-Accent6">
    <w:name w:val="Medium Grid 1 Accent 6"/>
    <w:basedOn w:val="TableNormal"/>
    <w:uiPriority w:val="67"/>
    <w:rsid w:val="00831F70"/>
    <w:rPr>
      <w:rFonts w:eastAsia="MS Mincho"/>
      <w:lang w:val="en-GB" w:eastAsia="en-GB"/>
    </w:rPr>
    <w:tblPr>
      <w:tblStyleRowBandSize w:val="1"/>
      <w:tblStyleColBandSize w:val="1"/>
      <w:tblBorders>
        <w:top w:val="single" w:sz="8" w:space="0" w:color="3C3691" w:themeColor="accent6" w:themeTint="BF"/>
        <w:left w:val="single" w:sz="8" w:space="0" w:color="3C3691" w:themeColor="accent6" w:themeTint="BF"/>
        <w:bottom w:val="single" w:sz="8" w:space="0" w:color="3C3691" w:themeColor="accent6" w:themeTint="BF"/>
        <w:right w:val="single" w:sz="8" w:space="0" w:color="3C3691" w:themeColor="accent6" w:themeTint="BF"/>
        <w:insideH w:val="single" w:sz="8" w:space="0" w:color="3C3691" w:themeColor="accent6" w:themeTint="BF"/>
        <w:insideV w:val="single" w:sz="8" w:space="0" w:color="3C3691" w:themeColor="accent6" w:themeTint="BF"/>
      </w:tblBorders>
    </w:tblPr>
    <w:tcPr>
      <w:shd w:val="clear" w:color="auto" w:fill="B7B4E3"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3C3691" w:themeColor="accent6" w:themeTint="BF"/>
        </w:tcBorders>
      </w:tcPr>
    </w:tblStylePr>
    <w:tblStylePr w:type="firstCol">
      <w:rPr>
        <w:b/>
        <w:bCs/>
      </w:rPr>
    </w:tblStylePr>
    <w:tblStylePr w:type="lastCol">
      <w:rPr>
        <w:b/>
        <w:bCs/>
      </w:rPr>
    </w:tblStylePr>
    <w:tblStylePr w:type="band1Vert">
      <w:tblPr/>
      <w:tcPr>
        <w:shd w:val="clear" w:color="auto" w:fill="6E68C7" w:themeFill="accent6" w:themeFillTint="7F"/>
      </w:tcPr>
    </w:tblStylePr>
    <w:tblStylePr w:type="band1Horz">
      <w:tblPr/>
      <w:tcPr>
        <w:shd w:val="clear" w:color="auto" w:fill="6E68C7" w:themeFill="accent6" w:themeFillTint="7F"/>
      </w:tcPr>
    </w:tblStylePr>
  </w:style>
  <w:style w:type="table" w:styleId="MediumGrid2">
    <w:name w:val="Medium Grid 2"/>
    <w:basedOn w:val="TableNormal"/>
    <w:uiPriority w:val="68"/>
    <w:rsid w:val="00831F70"/>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831F70"/>
    <w:rPr>
      <w:rFonts w:eastAsiaTheme="majorEastAsia" w:cstheme="majorBidi"/>
      <w:color w:val="000000" w:themeColor="text1"/>
      <w:lang w:val="en-GB" w:eastAsia="en-GB"/>
    </w:rPr>
    <w:tblPr>
      <w:tblStyleRowBandSize w:val="1"/>
      <w:tblStyleColBandSize w:val="1"/>
      <w:tblBorders>
        <w:top w:val="single" w:sz="8" w:space="0" w:color="323E48" w:themeColor="accent1"/>
        <w:left w:val="single" w:sz="8" w:space="0" w:color="323E48" w:themeColor="accent1"/>
        <w:bottom w:val="single" w:sz="8" w:space="0" w:color="323E48" w:themeColor="accent1"/>
        <w:right w:val="single" w:sz="8" w:space="0" w:color="323E48" w:themeColor="accent1"/>
        <w:insideH w:val="single" w:sz="8" w:space="0" w:color="323E48" w:themeColor="accent1"/>
        <w:insideV w:val="single" w:sz="8" w:space="0" w:color="323E48" w:themeColor="accent1"/>
      </w:tblBorders>
    </w:tblPr>
    <w:tcPr>
      <w:shd w:val="clear" w:color="auto" w:fill="C6CFD7" w:themeFill="accent1" w:themeFillTint="3F"/>
      <w:tcMar>
        <w:top w:w="57" w:type="dxa"/>
        <w:left w:w="57" w:type="dxa"/>
        <w:bottom w:w="57" w:type="dxa"/>
        <w:right w:w="57" w:type="dxa"/>
      </w:tcMar>
    </w:tcPr>
    <w:tblStylePr w:type="firstRow">
      <w:rPr>
        <w:rFonts w:asciiTheme="majorHAnsi" w:hAnsiTheme="majorHAnsi"/>
        <w:b/>
        <w:bCs/>
      </w:rPr>
      <w:tblPr/>
      <w:tcPr>
        <w:shd w:val="clear" w:color="auto" w:fill="E8EC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D8DF" w:themeFill="accent1" w:themeFillTint="33"/>
      </w:tcPr>
    </w:tblStylePr>
    <w:tblStylePr w:type="band1Vert">
      <w:tblPr/>
      <w:tcPr>
        <w:shd w:val="clear" w:color="auto" w:fill="8C9FAF" w:themeFill="accent1" w:themeFillTint="7F"/>
      </w:tcPr>
    </w:tblStylePr>
    <w:tblStylePr w:type="band1Horz">
      <w:tblPr/>
      <w:tcPr>
        <w:tcBorders>
          <w:insideH w:val="single" w:sz="6" w:space="0" w:color="323E48" w:themeColor="accent1"/>
          <w:insideV w:val="single" w:sz="6" w:space="0" w:color="323E48" w:themeColor="accent1"/>
        </w:tcBorders>
        <w:shd w:val="clear" w:color="auto" w:fill="8C9FA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831F70"/>
    <w:rPr>
      <w:rFonts w:eastAsiaTheme="majorEastAsia" w:cstheme="majorBidi"/>
      <w:color w:val="000000" w:themeColor="text1"/>
      <w:lang w:val="en-GB" w:eastAsia="en-GB"/>
    </w:rPr>
    <w:tblPr>
      <w:tblStyleRowBandSize w:val="1"/>
      <w:tblStyleColBandSize w:val="1"/>
      <w:tblBorders>
        <w:top w:val="single" w:sz="8" w:space="0" w:color="30AEB6" w:themeColor="accent2"/>
        <w:left w:val="single" w:sz="8" w:space="0" w:color="30AEB6" w:themeColor="accent2"/>
        <w:bottom w:val="single" w:sz="8" w:space="0" w:color="30AEB6" w:themeColor="accent2"/>
        <w:right w:val="single" w:sz="8" w:space="0" w:color="30AEB6" w:themeColor="accent2"/>
        <w:insideH w:val="single" w:sz="8" w:space="0" w:color="30AEB6" w:themeColor="accent2"/>
        <w:insideV w:val="single" w:sz="8" w:space="0" w:color="30AEB6" w:themeColor="accent2"/>
      </w:tblBorders>
    </w:tblPr>
    <w:tcPr>
      <w:shd w:val="clear" w:color="auto" w:fill="C8EEF0" w:themeFill="accent2" w:themeFillTint="3F"/>
      <w:tcMar>
        <w:top w:w="57" w:type="dxa"/>
        <w:left w:w="57" w:type="dxa"/>
        <w:bottom w:w="57" w:type="dxa"/>
        <w:right w:w="57" w:type="dxa"/>
      </w:tcMar>
    </w:tcPr>
    <w:tblStylePr w:type="firstRow">
      <w:rPr>
        <w:rFonts w:asciiTheme="majorHAnsi" w:hAnsiTheme="majorHAnsi"/>
        <w:b/>
        <w:bCs/>
      </w:rPr>
      <w:tblPr/>
      <w:tcPr>
        <w:shd w:val="clear" w:color="auto" w:fill="E9F8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F1F3" w:themeFill="accent2" w:themeFillTint="33"/>
      </w:tcPr>
    </w:tblStylePr>
    <w:tblStylePr w:type="band1Vert">
      <w:tblPr/>
      <w:tcPr>
        <w:shd w:val="clear" w:color="auto" w:fill="90DCE2" w:themeFill="accent2" w:themeFillTint="7F"/>
      </w:tcPr>
    </w:tblStylePr>
    <w:tblStylePr w:type="band1Horz">
      <w:tblPr/>
      <w:tcPr>
        <w:tcBorders>
          <w:insideH w:val="single" w:sz="6" w:space="0" w:color="30AEB6" w:themeColor="accent2"/>
          <w:insideV w:val="single" w:sz="6" w:space="0" w:color="30AEB6" w:themeColor="accent2"/>
        </w:tcBorders>
        <w:shd w:val="clear" w:color="auto" w:fill="90DCE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831F70"/>
    <w:rPr>
      <w:rFonts w:eastAsiaTheme="majorEastAsia" w:cstheme="majorBidi"/>
      <w:color w:val="000000" w:themeColor="text1"/>
      <w:lang w:val="en-GB" w:eastAsia="en-GB"/>
    </w:rPr>
    <w:tblPr>
      <w:tblStyleRowBandSize w:val="1"/>
      <w:tblStyleColBandSize w:val="1"/>
      <w:tblBorders>
        <w:top w:val="single" w:sz="8" w:space="0" w:color="DE4326" w:themeColor="accent3"/>
        <w:left w:val="single" w:sz="8" w:space="0" w:color="DE4326" w:themeColor="accent3"/>
        <w:bottom w:val="single" w:sz="8" w:space="0" w:color="DE4326" w:themeColor="accent3"/>
        <w:right w:val="single" w:sz="8" w:space="0" w:color="DE4326" w:themeColor="accent3"/>
        <w:insideH w:val="single" w:sz="8" w:space="0" w:color="DE4326" w:themeColor="accent3"/>
        <w:insideV w:val="single" w:sz="8" w:space="0" w:color="DE4326" w:themeColor="accent3"/>
      </w:tblBorders>
    </w:tblPr>
    <w:tcPr>
      <w:shd w:val="clear" w:color="auto" w:fill="F6D0C9" w:themeFill="accent3" w:themeFillTint="3F"/>
      <w:tcMar>
        <w:top w:w="57" w:type="dxa"/>
        <w:left w:w="57" w:type="dxa"/>
        <w:bottom w:w="57" w:type="dxa"/>
        <w:right w:w="57" w:type="dxa"/>
      </w:tcMar>
    </w:tcPr>
    <w:tblStylePr w:type="firstRow">
      <w:rPr>
        <w:rFonts w:asciiTheme="majorHAnsi" w:hAnsiTheme="majorHAnsi"/>
        <w:b/>
        <w:bCs/>
      </w:rPr>
      <w:tblPr/>
      <w:tcPr>
        <w:shd w:val="clear" w:color="auto" w:fill="FBEC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9D3" w:themeFill="accent3" w:themeFillTint="33"/>
      </w:tcPr>
    </w:tblStylePr>
    <w:tblStylePr w:type="band1Vert">
      <w:tblPr/>
      <w:tcPr>
        <w:shd w:val="clear" w:color="auto" w:fill="EEA192" w:themeFill="accent3" w:themeFillTint="7F"/>
      </w:tcPr>
    </w:tblStylePr>
    <w:tblStylePr w:type="band1Horz">
      <w:tblPr/>
      <w:tcPr>
        <w:tcBorders>
          <w:insideH w:val="single" w:sz="6" w:space="0" w:color="DE4326" w:themeColor="accent3"/>
          <w:insideV w:val="single" w:sz="6" w:space="0" w:color="DE4326" w:themeColor="accent3"/>
        </w:tcBorders>
        <w:shd w:val="clear" w:color="auto" w:fill="EEA19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831F70"/>
    <w:rPr>
      <w:rFonts w:eastAsiaTheme="majorEastAsia" w:cstheme="majorBidi"/>
      <w:color w:val="000000" w:themeColor="text1"/>
      <w:lang w:val="en-GB" w:eastAsia="en-GB"/>
    </w:rPr>
    <w:tblPr>
      <w:tblStyleRowBandSize w:val="1"/>
      <w:tblStyleColBandSize w:val="1"/>
      <w:tblBorders>
        <w:top w:val="single" w:sz="8" w:space="0" w:color="84C98F" w:themeColor="accent4"/>
        <w:left w:val="single" w:sz="8" w:space="0" w:color="84C98F" w:themeColor="accent4"/>
        <w:bottom w:val="single" w:sz="8" w:space="0" w:color="84C98F" w:themeColor="accent4"/>
        <w:right w:val="single" w:sz="8" w:space="0" w:color="84C98F" w:themeColor="accent4"/>
        <w:insideH w:val="single" w:sz="8" w:space="0" w:color="84C98F" w:themeColor="accent4"/>
        <w:insideV w:val="single" w:sz="8" w:space="0" w:color="84C98F" w:themeColor="accent4"/>
      </w:tblBorders>
    </w:tblPr>
    <w:tcPr>
      <w:shd w:val="clear" w:color="auto" w:fill="E0F1E3"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F9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F4E8" w:themeFill="accent4" w:themeFillTint="33"/>
      </w:tcPr>
    </w:tblStylePr>
    <w:tblStylePr w:type="band1Vert">
      <w:tblPr/>
      <w:tcPr>
        <w:shd w:val="clear" w:color="auto" w:fill="C1E4C6" w:themeFill="accent4" w:themeFillTint="7F"/>
      </w:tcPr>
    </w:tblStylePr>
    <w:tblStylePr w:type="band1Horz">
      <w:tblPr/>
      <w:tcPr>
        <w:tcBorders>
          <w:insideH w:val="single" w:sz="6" w:space="0" w:color="84C98F" w:themeColor="accent4"/>
          <w:insideV w:val="single" w:sz="6" w:space="0" w:color="84C98F" w:themeColor="accent4"/>
        </w:tcBorders>
        <w:shd w:val="clear" w:color="auto" w:fill="C1E4C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831F70"/>
    <w:rPr>
      <w:rFonts w:eastAsiaTheme="majorEastAsia" w:cstheme="majorBidi"/>
      <w:color w:val="000000" w:themeColor="text1"/>
      <w:lang w:val="en-GB" w:eastAsia="en-GB"/>
    </w:rPr>
    <w:tblPr>
      <w:tblStyleRowBandSize w:val="1"/>
      <w:tblStyleColBandSize w:val="1"/>
      <w:tblBorders>
        <w:top w:val="single" w:sz="8" w:space="0" w:color="F1AC1E" w:themeColor="accent5"/>
        <w:left w:val="single" w:sz="8" w:space="0" w:color="F1AC1E" w:themeColor="accent5"/>
        <w:bottom w:val="single" w:sz="8" w:space="0" w:color="F1AC1E" w:themeColor="accent5"/>
        <w:right w:val="single" w:sz="8" w:space="0" w:color="F1AC1E" w:themeColor="accent5"/>
        <w:insideH w:val="single" w:sz="8" w:space="0" w:color="F1AC1E" w:themeColor="accent5"/>
        <w:insideV w:val="single" w:sz="8" w:space="0" w:color="F1AC1E" w:themeColor="accent5"/>
      </w:tblBorders>
    </w:tblPr>
    <w:tcPr>
      <w:shd w:val="clear" w:color="auto" w:fill="FBEAC7" w:themeFill="accent5" w:themeFillTint="3F"/>
      <w:tcMar>
        <w:top w:w="57" w:type="dxa"/>
        <w:left w:w="57" w:type="dxa"/>
        <w:bottom w:w="57" w:type="dxa"/>
        <w:right w:w="57" w:type="dxa"/>
      </w:tcMar>
    </w:tcPr>
    <w:tblStylePr w:type="firstRow">
      <w:rPr>
        <w:rFonts w:asciiTheme="majorHAnsi" w:hAnsiTheme="majorHAnsi"/>
        <w:b/>
        <w:bCs/>
      </w:rPr>
      <w:tblPr/>
      <w:tcPr>
        <w:shd w:val="clear" w:color="auto" w:fill="FDF6E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ED1" w:themeFill="accent5" w:themeFillTint="33"/>
      </w:tcPr>
    </w:tblStylePr>
    <w:tblStylePr w:type="band1Vert">
      <w:tblPr/>
      <w:tcPr>
        <w:shd w:val="clear" w:color="auto" w:fill="F8D58E" w:themeFill="accent5" w:themeFillTint="7F"/>
      </w:tcPr>
    </w:tblStylePr>
    <w:tblStylePr w:type="band1Horz">
      <w:tblPr/>
      <w:tcPr>
        <w:tcBorders>
          <w:insideH w:val="single" w:sz="6" w:space="0" w:color="F1AC1E" w:themeColor="accent5"/>
          <w:insideV w:val="single" w:sz="6" w:space="0" w:color="F1AC1E" w:themeColor="accent5"/>
        </w:tcBorders>
        <w:shd w:val="clear" w:color="auto" w:fill="F8D58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831F70"/>
    <w:rPr>
      <w:rFonts w:eastAsiaTheme="majorEastAsia" w:cstheme="majorBidi"/>
      <w:color w:val="000000" w:themeColor="text1"/>
      <w:lang w:val="en-GB" w:eastAsia="en-GB"/>
    </w:rPr>
    <w:tblPr>
      <w:tblStyleRowBandSize w:val="1"/>
      <w:tblStyleColBandSize w:val="1"/>
      <w:tblBorders>
        <w:top w:val="single" w:sz="8" w:space="0" w:color="1D1A46" w:themeColor="accent6"/>
        <w:left w:val="single" w:sz="8" w:space="0" w:color="1D1A46" w:themeColor="accent6"/>
        <w:bottom w:val="single" w:sz="8" w:space="0" w:color="1D1A46" w:themeColor="accent6"/>
        <w:right w:val="single" w:sz="8" w:space="0" w:color="1D1A46" w:themeColor="accent6"/>
        <w:insideH w:val="single" w:sz="8" w:space="0" w:color="1D1A46" w:themeColor="accent6"/>
        <w:insideV w:val="single" w:sz="8" w:space="0" w:color="1D1A46" w:themeColor="accent6"/>
      </w:tblBorders>
    </w:tblPr>
    <w:tcPr>
      <w:shd w:val="clear" w:color="auto" w:fill="B7B4E3" w:themeFill="accent6" w:themeFillTint="3F"/>
      <w:tcMar>
        <w:top w:w="57" w:type="dxa"/>
        <w:left w:w="57" w:type="dxa"/>
        <w:bottom w:w="57" w:type="dxa"/>
        <w:right w:w="57" w:type="dxa"/>
      </w:tcMar>
    </w:tcPr>
    <w:tblStylePr w:type="firstRow">
      <w:rPr>
        <w:rFonts w:asciiTheme="majorHAnsi" w:hAnsiTheme="majorHAnsi"/>
        <w:b/>
        <w:bCs/>
      </w:rPr>
      <w:tblPr/>
      <w:tcPr>
        <w:shd w:val="clear" w:color="auto" w:fill="E2E1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C2E8" w:themeFill="accent6" w:themeFillTint="33"/>
      </w:tcPr>
    </w:tblStylePr>
    <w:tblStylePr w:type="band1Vert">
      <w:tblPr/>
      <w:tcPr>
        <w:shd w:val="clear" w:color="auto" w:fill="6E68C7" w:themeFill="accent6" w:themeFillTint="7F"/>
      </w:tcPr>
    </w:tblStylePr>
    <w:tblStylePr w:type="band1Horz">
      <w:tblPr/>
      <w:tcPr>
        <w:tcBorders>
          <w:insideH w:val="single" w:sz="6" w:space="0" w:color="1D1A46" w:themeColor="accent6"/>
          <w:insideV w:val="single" w:sz="6" w:space="0" w:color="1D1A46" w:themeColor="accent6"/>
        </w:tcBorders>
        <w:shd w:val="clear" w:color="auto" w:fill="6E68C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831F70"/>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831F70"/>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CFD7"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E4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E4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E4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E4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9FA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9FAF" w:themeFill="accent1" w:themeFillTint="7F"/>
      </w:tcPr>
    </w:tblStylePr>
  </w:style>
  <w:style w:type="table" w:styleId="MediumGrid3-Accent2">
    <w:name w:val="Medium Grid 3 Accent 2"/>
    <w:basedOn w:val="TableNormal"/>
    <w:uiPriority w:val="69"/>
    <w:rsid w:val="00831F70"/>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EEF0"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AEB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AEB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AEB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AEB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0DCE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0DCE2" w:themeFill="accent2" w:themeFillTint="7F"/>
      </w:tcPr>
    </w:tblStylePr>
  </w:style>
  <w:style w:type="table" w:styleId="MediumGrid3-Accent3">
    <w:name w:val="Medium Grid 3 Accent 3"/>
    <w:basedOn w:val="TableNormal"/>
    <w:uiPriority w:val="69"/>
    <w:rsid w:val="00831F70"/>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0C9"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432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432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432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432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A19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A192" w:themeFill="accent3" w:themeFillTint="7F"/>
      </w:tcPr>
    </w:tblStylePr>
  </w:style>
  <w:style w:type="table" w:styleId="MediumGrid3-Accent4">
    <w:name w:val="Medium Grid 3 Accent 4"/>
    <w:basedOn w:val="TableNormal"/>
    <w:uiPriority w:val="69"/>
    <w:rsid w:val="00831F70"/>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F1E3"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C98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C98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C98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C98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E4C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E4C6" w:themeFill="accent4" w:themeFillTint="7F"/>
      </w:tcPr>
    </w:tblStylePr>
  </w:style>
  <w:style w:type="table" w:styleId="MediumGrid3-Accent5">
    <w:name w:val="Medium Grid 3 Accent 5"/>
    <w:basedOn w:val="TableNormal"/>
    <w:uiPriority w:val="69"/>
    <w:rsid w:val="00831F70"/>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AC7"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AC1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AC1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AC1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AC1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58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58E" w:themeFill="accent5" w:themeFillTint="7F"/>
      </w:tcPr>
    </w:tblStylePr>
  </w:style>
  <w:style w:type="table" w:styleId="MediumGrid3-Accent6">
    <w:name w:val="Medium Grid 3 Accent 6"/>
    <w:basedOn w:val="TableNormal"/>
    <w:uiPriority w:val="69"/>
    <w:rsid w:val="00831F70"/>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B4E3"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1A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1A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1A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1A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68C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68C7" w:themeFill="accent6" w:themeFillTint="7F"/>
      </w:tcPr>
    </w:tblStylePr>
  </w:style>
  <w:style w:type="table" w:styleId="MediumList1">
    <w:name w:val="Medium List 1"/>
    <w:basedOn w:val="TableNormal"/>
    <w:uiPriority w:val="65"/>
    <w:rsid w:val="00831F70"/>
    <w:rPr>
      <w:rFonts w:eastAsia="MS Mincho"/>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831F70"/>
    <w:rPr>
      <w:rFonts w:eastAsia="MS Mincho"/>
      <w:color w:val="000000" w:themeColor="text1"/>
      <w:lang w:val="en-GB" w:eastAsia="en-GB"/>
    </w:rPr>
    <w:tblPr>
      <w:tblStyleRowBandSize w:val="1"/>
      <w:tblStyleColBandSize w:val="1"/>
      <w:tblBorders>
        <w:top w:val="single" w:sz="8" w:space="0" w:color="323E48" w:themeColor="accent1"/>
        <w:bottom w:val="single" w:sz="8" w:space="0" w:color="323E48"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23E48" w:themeColor="accent1"/>
        </w:tcBorders>
      </w:tcPr>
    </w:tblStylePr>
    <w:tblStylePr w:type="lastRow">
      <w:rPr>
        <w:b/>
        <w:bCs/>
        <w:color w:val="000000" w:themeColor="text2"/>
      </w:rPr>
      <w:tblPr/>
      <w:tcPr>
        <w:tcBorders>
          <w:top w:val="single" w:sz="8" w:space="0" w:color="323E48" w:themeColor="accent1"/>
          <w:bottom w:val="single" w:sz="8" w:space="0" w:color="323E48" w:themeColor="accent1"/>
        </w:tcBorders>
      </w:tcPr>
    </w:tblStylePr>
    <w:tblStylePr w:type="firstCol">
      <w:rPr>
        <w:b/>
        <w:bCs/>
      </w:rPr>
    </w:tblStylePr>
    <w:tblStylePr w:type="lastCol">
      <w:rPr>
        <w:b/>
        <w:bCs/>
      </w:rPr>
      <w:tblPr/>
      <w:tcPr>
        <w:tcBorders>
          <w:top w:val="single" w:sz="8" w:space="0" w:color="323E48" w:themeColor="accent1"/>
          <w:bottom w:val="single" w:sz="8" w:space="0" w:color="323E48" w:themeColor="accent1"/>
        </w:tcBorders>
      </w:tcPr>
    </w:tblStylePr>
    <w:tblStylePr w:type="band1Vert">
      <w:tblPr/>
      <w:tcPr>
        <w:shd w:val="clear" w:color="auto" w:fill="C6CFD7" w:themeFill="accent1" w:themeFillTint="3F"/>
      </w:tcPr>
    </w:tblStylePr>
    <w:tblStylePr w:type="band1Horz">
      <w:tblPr/>
      <w:tcPr>
        <w:shd w:val="clear" w:color="auto" w:fill="C6CFD7" w:themeFill="accent1" w:themeFillTint="3F"/>
      </w:tcPr>
    </w:tblStylePr>
  </w:style>
  <w:style w:type="table" w:styleId="MediumList1-Accent2">
    <w:name w:val="Medium List 1 Accent 2"/>
    <w:basedOn w:val="TableNormal"/>
    <w:uiPriority w:val="65"/>
    <w:rsid w:val="00831F70"/>
    <w:rPr>
      <w:rFonts w:eastAsia="MS Mincho"/>
      <w:color w:val="000000" w:themeColor="text1"/>
      <w:lang w:val="en-GB" w:eastAsia="en-GB"/>
    </w:rPr>
    <w:tblPr>
      <w:tblStyleRowBandSize w:val="1"/>
      <w:tblStyleColBandSize w:val="1"/>
      <w:tblBorders>
        <w:top w:val="single" w:sz="8" w:space="0" w:color="30AEB6" w:themeColor="accent2"/>
        <w:bottom w:val="single" w:sz="8" w:space="0" w:color="30AEB6"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0AEB6" w:themeColor="accent2"/>
        </w:tcBorders>
      </w:tcPr>
    </w:tblStylePr>
    <w:tblStylePr w:type="lastRow">
      <w:rPr>
        <w:b/>
        <w:bCs/>
        <w:color w:val="000000" w:themeColor="text2"/>
      </w:rPr>
      <w:tblPr/>
      <w:tcPr>
        <w:tcBorders>
          <w:top w:val="single" w:sz="8" w:space="0" w:color="30AEB6" w:themeColor="accent2"/>
          <w:bottom w:val="single" w:sz="8" w:space="0" w:color="30AEB6" w:themeColor="accent2"/>
        </w:tcBorders>
      </w:tcPr>
    </w:tblStylePr>
    <w:tblStylePr w:type="firstCol">
      <w:rPr>
        <w:b/>
        <w:bCs/>
      </w:rPr>
    </w:tblStylePr>
    <w:tblStylePr w:type="lastCol">
      <w:rPr>
        <w:b/>
        <w:bCs/>
      </w:rPr>
      <w:tblPr/>
      <w:tcPr>
        <w:tcBorders>
          <w:top w:val="single" w:sz="8" w:space="0" w:color="30AEB6" w:themeColor="accent2"/>
          <w:bottom w:val="single" w:sz="8" w:space="0" w:color="30AEB6" w:themeColor="accent2"/>
        </w:tcBorders>
      </w:tcPr>
    </w:tblStylePr>
    <w:tblStylePr w:type="band1Vert">
      <w:tblPr/>
      <w:tcPr>
        <w:shd w:val="clear" w:color="auto" w:fill="C8EEF0" w:themeFill="accent2" w:themeFillTint="3F"/>
      </w:tcPr>
    </w:tblStylePr>
    <w:tblStylePr w:type="band1Horz">
      <w:tblPr/>
      <w:tcPr>
        <w:shd w:val="clear" w:color="auto" w:fill="C8EEF0" w:themeFill="accent2" w:themeFillTint="3F"/>
      </w:tcPr>
    </w:tblStylePr>
  </w:style>
  <w:style w:type="table" w:styleId="MediumList1-Accent3">
    <w:name w:val="Medium List 1 Accent 3"/>
    <w:basedOn w:val="TableNormal"/>
    <w:uiPriority w:val="65"/>
    <w:rsid w:val="00831F70"/>
    <w:rPr>
      <w:rFonts w:eastAsia="MS Mincho"/>
      <w:color w:val="000000" w:themeColor="text1"/>
      <w:lang w:val="en-GB" w:eastAsia="en-GB"/>
    </w:rPr>
    <w:tblPr>
      <w:tblStyleRowBandSize w:val="1"/>
      <w:tblStyleColBandSize w:val="1"/>
      <w:tblBorders>
        <w:top w:val="single" w:sz="8" w:space="0" w:color="DE4326" w:themeColor="accent3"/>
        <w:bottom w:val="single" w:sz="8" w:space="0" w:color="DE4326"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E4326" w:themeColor="accent3"/>
        </w:tcBorders>
      </w:tcPr>
    </w:tblStylePr>
    <w:tblStylePr w:type="lastRow">
      <w:rPr>
        <w:b/>
        <w:bCs/>
        <w:color w:val="000000" w:themeColor="text2"/>
      </w:rPr>
      <w:tblPr/>
      <w:tcPr>
        <w:tcBorders>
          <w:top w:val="single" w:sz="8" w:space="0" w:color="DE4326" w:themeColor="accent3"/>
          <w:bottom w:val="single" w:sz="8" w:space="0" w:color="DE4326" w:themeColor="accent3"/>
        </w:tcBorders>
      </w:tcPr>
    </w:tblStylePr>
    <w:tblStylePr w:type="firstCol">
      <w:rPr>
        <w:b/>
        <w:bCs/>
      </w:rPr>
    </w:tblStylePr>
    <w:tblStylePr w:type="lastCol">
      <w:rPr>
        <w:b/>
        <w:bCs/>
      </w:rPr>
      <w:tblPr/>
      <w:tcPr>
        <w:tcBorders>
          <w:top w:val="single" w:sz="8" w:space="0" w:color="DE4326" w:themeColor="accent3"/>
          <w:bottom w:val="single" w:sz="8" w:space="0" w:color="DE4326" w:themeColor="accent3"/>
        </w:tcBorders>
      </w:tcPr>
    </w:tblStylePr>
    <w:tblStylePr w:type="band1Vert">
      <w:tblPr/>
      <w:tcPr>
        <w:shd w:val="clear" w:color="auto" w:fill="F6D0C9" w:themeFill="accent3" w:themeFillTint="3F"/>
      </w:tcPr>
    </w:tblStylePr>
    <w:tblStylePr w:type="band1Horz">
      <w:tblPr/>
      <w:tcPr>
        <w:shd w:val="clear" w:color="auto" w:fill="F6D0C9" w:themeFill="accent3" w:themeFillTint="3F"/>
      </w:tcPr>
    </w:tblStylePr>
  </w:style>
  <w:style w:type="table" w:styleId="MediumList1-Accent4">
    <w:name w:val="Medium List 1 Accent 4"/>
    <w:basedOn w:val="TableNormal"/>
    <w:uiPriority w:val="65"/>
    <w:rsid w:val="00831F70"/>
    <w:rPr>
      <w:rFonts w:eastAsia="MS Mincho"/>
      <w:color w:val="000000" w:themeColor="text1"/>
      <w:lang w:val="en-GB" w:eastAsia="en-GB"/>
    </w:rPr>
    <w:tblPr>
      <w:tblStyleRowBandSize w:val="1"/>
      <w:tblStyleColBandSize w:val="1"/>
      <w:tblBorders>
        <w:top w:val="single" w:sz="8" w:space="0" w:color="84C98F" w:themeColor="accent4"/>
        <w:bottom w:val="single" w:sz="8" w:space="0" w:color="84C98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4C98F" w:themeColor="accent4"/>
        </w:tcBorders>
      </w:tcPr>
    </w:tblStylePr>
    <w:tblStylePr w:type="lastRow">
      <w:rPr>
        <w:b/>
        <w:bCs/>
        <w:color w:val="000000" w:themeColor="text2"/>
      </w:rPr>
      <w:tblPr/>
      <w:tcPr>
        <w:tcBorders>
          <w:top w:val="single" w:sz="8" w:space="0" w:color="84C98F" w:themeColor="accent4"/>
          <w:bottom w:val="single" w:sz="8" w:space="0" w:color="84C98F" w:themeColor="accent4"/>
        </w:tcBorders>
      </w:tcPr>
    </w:tblStylePr>
    <w:tblStylePr w:type="firstCol">
      <w:rPr>
        <w:b/>
        <w:bCs/>
      </w:rPr>
    </w:tblStylePr>
    <w:tblStylePr w:type="lastCol">
      <w:rPr>
        <w:b/>
        <w:bCs/>
      </w:rPr>
      <w:tblPr/>
      <w:tcPr>
        <w:tcBorders>
          <w:top w:val="single" w:sz="8" w:space="0" w:color="84C98F" w:themeColor="accent4"/>
          <w:bottom w:val="single" w:sz="8" w:space="0" w:color="84C98F" w:themeColor="accent4"/>
        </w:tcBorders>
      </w:tcPr>
    </w:tblStylePr>
    <w:tblStylePr w:type="band1Vert">
      <w:tblPr/>
      <w:tcPr>
        <w:shd w:val="clear" w:color="auto" w:fill="E0F1E3" w:themeFill="accent4" w:themeFillTint="3F"/>
      </w:tcPr>
    </w:tblStylePr>
    <w:tblStylePr w:type="band1Horz">
      <w:tblPr/>
      <w:tcPr>
        <w:shd w:val="clear" w:color="auto" w:fill="E0F1E3" w:themeFill="accent4" w:themeFillTint="3F"/>
      </w:tcPr>
    </w:tblStylePr>
  </w:style>
  <w:style w:type="table" w:styleId="MediumList1-Accent5">
    <w:name w:val="Medium List 1 Accent 5"/>
    <w:basedOn w:val="TableNormal"/>
    <w:uiPriority w:val="65"/>
    <w:rsid w:val="00831F70"/>
    <w:rPr>
      <w:rFonts w:eastAsia="MS Mincho"/>
      <w:color w:val="000000" w:themeColor="text1"/>
      <w:lang w:val="en-GB" w:eastAsia="en-GB"/>
    </w:rPr>
    <w:tblPr>
      <w:tblStyleRowBandSize w:val="1"/>
      <w:tblStyleColBandSize w:val="1"/>
      <w:tblBorders>
        <w:top w:val="single" w:sz="8" w:space="0" w:color="F1AC1E" w:themeColor="accent5"/>
        <w:bottom w:val="single" w:sz="8" w:space="0" w:color="F1AC1E"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1AC1E" w:themeColor="accent5"/>
        </w:tcBorders>
      </w:tcPr>
    </w:tblStylePr>
    <w:tblStylePr w:type="lastRow">
      <w:rPr>
        <w:b/>
        <w:bCs/>
        <w:color w:val="000000" w:themeColor="text2"/>
      </w:rPr>
      <w:tblPr/>
      <w:tcPr>
        <w:tcBorders>
          <w:top w:val="single" w:sz="8" w:space="0" w:color="F1AC1E" w:themeColor="accent5"/>
          <w:bottom w:val="single" w:sz="8" w:space="0" w:color="F1AC1E" w:themeColor="accent5"/>
        </w:tcBorders>
      </w:tcPr>
    </w:tblStylePr>
    <w:tblStylePr w:type="firstCol">
      <w:rPr>
        <w:b/>
        <w:bCs/>
      </w:rPr>
    </w:tblStylePr>
    <w:tblStylePr w:type="lastCol">
      <w:rPr>
        <w:b/>
        <w:bCs/>
      </w:rPr>
      <w:tblPr/>
      <w:tcPr>
        <w:tcBorders>
          <w:top w:val="single" w:sz="8" w:space="0" w:color="F1AC1E" w:themeColor="accent5"/>
          <w:bottom w:val="single" w:sz="8" w:space="0" w:color="F1AC1E" w:themeColor="accent5"/>
        </w:tcBorders>
      </w:tcPr>
    </w:tblStylePr>
    <w:tblStylePr w:type="band1Vert">
      <w:tblPr/>
      <w:tcPr>
        <w:shd w:val="clear" w:color="auto" w:fill="FBEAC7" w:themeFill="accent5" w:themeFillTint="3F"/>
      </w:tcPr>
    </w:tblStylePr>
    <w:tblStylePr w:type="band1Horz">
      <w:tblPr/>
      <w:tcPr>
        <w:shd w:val="clear" w:color="auto" w:fill="FBEAC7" w:themeFill="accent5" w:themeFillTint="3F"/>
      </w:tcPr>
    </w:tblStylePr>
  </w:style>
  <w:style w:type="table" w:styleId="MediumList1-Accent6">
    <w:name w:val="Medium List 1 Accent 6"/>
    <w:basedOn w:val="TableNormal"/>
    <w:uiPriority w:val="65"/>
    <w:rsid w:val="00831F70"/>
    <w:rPr>
      <w:rFonts w:eastAsia="MS Mincho"/>
      <w:color w:val="000000" w:themeColor="text1"/>
      <w:lang w:val="en-GB" w:eastAsia="en-GB"/>
    </w:rPr>
    <w:tblPr>
      <w:tblStyleRowBandSize w:val="1"/>
      <w:tblStyleColBandSize w:val="1"/>
      <w:tblBorders>
        <w:top w:val="single" w:sz="8" w:space="0" w:color="1D1A46" w:themeColor="accent6"/>
        <w:bottom w:val="single" w:sz="8" w:space="0" w:color="1D1A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1D1A46" w:themeColor="accent6"/>
        </w:tcBorders>
      </w:tcPr>
    </w:tblStylePr>
    <w:tblStylePr w:type="lastRow">
      <w:rPr>
        <w:b/>
        <w:bCs/>
        <w:color w:val="000000" w:themeColor="text2"/>
      </w:rPr>
      <w:tblPr/>
      <w:tcPr>
        <w:tcBorders>
          <w:top w:val="single" w:sz="8" w:space="0" w:color="1D1A46" w:themeColor="accent6"/>
          <w:bottom w:val="single" w:sz="8" w:space="0" w:color="1D1A46" w:themeColor="accent6"/>
        </w:tcBorders>
      </w:tcPr>
    </w:tblStylePr>
    <w:tblStylePr w:type="firstCol">
      <w:rPr>
        <w:b/>
        <w:bCs/>
      </w:rPr>
    </w:tblStylePr>
    <w:tblStylePr w:type="lastCol">
      <w:rPr>
        <w:b/>
        <w:bCs/>
      </w:rPr>
      <w:tblPr/>
      <w:tcPr>
        <w:tcBorders>
          <w:top w:val="single" w:sz="8" w:space="0" w:color="1D1A46" w:themeColor="accent6"/>
          <w:bottom w:val="single" w:sz="8" w:space="0" w:color="1D1A46" w:themeColor="accent6"/>
        </w:tcBorders>
      </w:tcPr>
    </w:tblStylePr>
    <w:tblStylePr w:type="band1Vert">
      <w:tblPr/>
      <w:tcPr>
        <w:shd w:val="clear" w:color="auto" w:fill="B7B4E3" w:themeFill="accent6" w:themeFillTint="3F"/>
      </w:tcPr>
    </w:tblStylePr>
    <w:tblStylePr w:type="band1Horz">
      <w:tblPr/>
      <w:tcPr>
        <w:shd w:val="clear" w:color="auto" w:fill="B7B4E3" w:themeFill="accent6" w:themeFillTint="3F"/>
      </w:tcPr>
    </w:tblStylePr>
  </w:style>
  <w:style w:type="table" w:styleId="MediumList2">
    <w:name w:val="Medium List 2"/>
    <w:basedOn w:val="TableNormal"/>
    <w:uiPriority w:val="66"/>
    <w:rsid w:val="00831F70"/>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831F70"/>
    <w:rPr>
      <w:rFonts w:eastAsiaTheme="majorEastAsia" w:cstheme="majorBidi"/>
      <w:color w:val="000000" w:themeColor="text1"/>
      <w:lang w:val="en-GB" w:eastAsia="en-GB"/>
    </w:rPr>
    <w:tblPr>
      <w:tblStyleRowBandSize w:val="1"/>
      <w:tblStyleColBandSize w:val="1"/>
      <w:tblBorders>
        <w:top w:val="single" w:sz="8" w:space="0" w:color="323E48" w:themeColor="accent1"/>
        <w:left w:val="single" w:sz="8" w:space="0" w:color="323E48" w:themeColor="accent1"/>
        <w:bottom w:val="single" w:sz="8" w:space="0" w:color="323E48" w:themeColor="accent1"/>
        <w:right w:val="single" w:sz="8" w:space="0" w:color="323E48"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23E48" w:themeColor="accent1"/>
          <w:right w:val="nil"/>
          <w:insideH w:val="nil"/>
          <w:insideV w:val="nil"/>
        </w:tcBorders>
        <w:shd w:val="clear" w:color="auto" w:fill="FFFFFF" w:themeFill="background1"/>
      </w:tcPr>
    </w:tblStylePr>
    <w:tblStylePr w:type="lastRow">
      <w:tblPr/>
      <w:tcPr>
        <w:tcBorders>
          <w:top w:val="single" w:sz="8" w:space="0" w:color="323E4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E48" w:themeColor="accent1"/>
          <w:insideH w:val="nil"/>
          <w:insideV w:val="nil"/>
        </w:tcBorders>
        <w:shd w:val="clear" w:color="auto" w:fill="FFFFFF" w:themeFill="background1"/>
      </w:tcPr>
    </w:tblStylePr>
    <w:tblStylePr w:type="lastCol">
      <w:tblPr/>
      <w:tcPr>
        <w:tcBorders>
          <w:top w:val="nil"/>
          <w:left w:val="single" w:sz="8" w:space="0" w:color="323E4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CFD7" w:themeFill="accent1" w:themeFillTint="3F"/>
      </w:tcPr>
    </w:tblStylePr>
    <w:tblStylePr w:type="band1Horz">
      <w:tblPr/>
      <w:tcPr>
        <w:tcBorders>
          <w:top w:val="nil"/>
          <w:bottom w:val="nil"/>
          <w:insideH w:val="nil"/>
          <w:insideV w:val="nil"/>
        </w:tcBorders>
        <w:shd w:val="clear" w:color="auto" w:fill="C6CFD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831F70"/>
    <w:rPr>
      <w:rFonts w:eastAsiaTheme="majorEastAsia" w:cstheme="majorBidi"/>
      <w:color w:val="000000" w:themeColor="text1"/>
      <w:lang w:val="en-GB" w:eastAsia="en-GB"/>
    </w:rPr>
    <w:tblPr>
      <w:tblStyleRowBandSize w:val="1"/>
      <w:tblStyleColBandSize w:val="1"/>
      <w:tblBorders>
        <w:top w:val="single" w:sz="8" w:space="0" w:color="30AEB6" w:themeColor="accent2"/>
        <w:left w:val="single" w:sz="8" w:space="0" w:color="30AEB6" w:themeColor="accent2"/>
        <w:bottom w:val="single" w:sz="8" w:space="0" w:color="30AEB6" w:themeColor="accent2"/>
        <w:right w:val="single" w:sz="8" w:space="0" w:color="30AEB6"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0AEB6" w:themeColor="accent2"/>
          <w:right w:val="nil"/>
          <w:insideH w:val="nil"/>
          <w:insideV w:val="nil"/>
        </w:tcBorders>
        <w:shd w:val="clear" w:color="auto" w:fill="FFFFFF" w:themeFill="background1"/>
      </w:tcPr>
    </w:tblStylePr>
    <w:tblStylePr w:type="lastRow">
      <w:tblPr/>
      <w:tcPr>
        <w:tcBorders>
          <w:top w:val="single" w:sz="8" w:space="0" w:color="30AEB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AEB6" w:themeColor="accent2"/>
          <w:insideH w:val="nil"/>
          <w:insideV w:val="nil"/>
        </w:tcBorders>
        <w:shd w:val="clear" w:color="auto" w:fill="FFFFFF" w:themeFill="background1"/>
      </w:tcPr>
    </w:tblStylePr>
    <w:tblStylePr w:type="lastCol">
      <w:tblPr/>
      <w:tcPr>
        <w:tcBorders>
          <w:top w:val="nil"/>
          <w:left w:val="single" w:sz="8" w:space="0" w:color="30AEB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EEF0" w:themeFill="accent2" w:themeFillTint="3F"/>
      </w:tcPr>
    </w:tblStylePr>
    <w:tblStylePr w:type="band1Horz">
      <w:tblPr/>
      <w:tcPr>
        <w:tcBorders>
          <w:top w:val="nil"/>
          <w:bottom w:val="nil"/>
          <w:insideH w:val="nil"/>
          <w:insideV w:val="nil"/>
        </w:tcBorders>
        <w:shd w:val="clear" w:color="auto" w:fill="C8EEF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831F70"/>
    <w:rPr>
      <w:rFonts w:eastAsiaTheme="majorEastAsia" w:cstheme="majorBidi"/>
      <w:color w:val="000000" w:themeColor="text1"/>
      <w:lang w:val="en-GB" w:eastAsia="en-GB"/>
    </w:rPr>
    <w:tblPr>
      <w:tblStyleRowBandSize w:val="1"/>
      <w:tblStyleColBandSize w:val="1"/>
      <w:tblBorders>
        <w:top w:val="single" w:sz="8" w:space="0" w:color="DE4326" w:themeColor="accent3"/>
        <w:left w:val="single" w:sz="8" w:space="0" w:color="DE4326" w:themeColor="accent3"/>
        <w:bottom w:val="single" w:sz="8" w:space="0" w:color="DE4326" w:themeColor="accent3"/>
        <w:right w:val="single" w:sz="8" w:space="0" w:color="DE4326"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E4326" w:themeColor="accent3"/>
          <w:right w:val="nil"/>
          <w:insideH w:val="nil"/>
          <w:insideV w:val="nil"/>
        </w:tcBorders>
        <w:shd w:val="clear" w:color="auto" w:fill="FFFFFF" w:themeFill="background1"/>
      </w:tcPr>
    </w:tblStylePr>
    <w:tblStylePr w:type="lastRow">
      <w:tblPr/>
      <w:tcPr>
        <w:tcBorders>
          <w:top w:val="single" w:sz="8" w:space="0" w:color="DE432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4326" w:themeColor="accent3"/>
          <w:insideH w:val="nil"/>
          <w:insideV w:val="nil"/>
        </w:tcBorders>
        <w:shd w:val="clear" w:color="auto" w:fill="FFFFFF" w:themeFill="background1"/>
      </w:tcPr>
    </w:tblStylePr>
    <w:tblStylePr w:type="lastCol">
      <w:tblPr/>
      <w:tcPr>
        <w:tcBorders>
          <w:top w:val="nil"/>
          <w:left w:val="single" w:sz="8" w:space="0" w:color="DE432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0C9" w:themeFill="accent3" w:themeFillTint="3F"/>
      </w:tcPr>
    </w:tblStylePr>
    <w:tblStylePr w:type="band1Horz">
      <w:tblPr/>
      <w:tcPr>
        <w:tcBorders>
          <w:top w:val="nil"/>
          <w:bottom w:val="nil"/>
          <w:insideH w:val="nil"/>
          <w:insideV w:val="nil"/>
        </w:tcBorders>
        <w:shd w:val="clear" w:color="auto" w:fill="F6D0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31F70"/>
    <w:rPr>
      <w:rFonts w:eastAsiaTheme="majorEastAsia" w:cstheme="majorBidi"/>
      <w:color w:val="000000" w:themeColor="text1"/>
      <w:lang w:val="en-GB" w:eastAsia="en-GB"/>
    </w:rPr>
    <w:tblPr>
      <w:tblStyleRowBandSize w:val="1"/>
      <w:tblStyleColBandSize w:val="1"/>
      <w:tblBorders>
        <w:top w:val="single" w:sz="8" w:space="0" w:color="84C98F" w:themeColor="accent4"/>
        <w:left w:val="single" w:sz="8" w:space="0" w:color="84C98F" w:themeColor="accent4"/>
        <w:bottom w:val="single" w:sz="8" w:space="0" w:color="84C98F" w:themeColor="accent4"/>
        <w:right w:val="single" w:sz="8" w:space="0" w:color="84C98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4C98F" w:themeColor="accent4"/>
          <w:right w:val="nil"/>
          <w:insideH w:val="nil"/>
          <w:insideV w:val="nil"/>
        </w:tcBorders>
        <w:shd w:val="clear" w:color="auto" w:fill="FFFFFF" w:themeFill="background1"/>
      </w:tcPr>
    </w:tblStylePr>
    <w:tblStylePr w:type="lastRow">
      <w:tblPr/>
      <w:tcPr>
        <w:tcBorders>
          <w:top w:val="single" w:sz="8" w:space="0" w:color="84C98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C98F" w:themeColor="accent4"/>
          <w:insideH w:val="nil"/>
          <w:insideV w:val="nil"/>
        </w:tcBorders>
        <w:shd w:val="clear" w:color="auto" w:fill="FFFFFF" w:themeFill="background1"/>
      </w:tcPr>
    </w:tblStylePr>
    <w:tblStylePr w:type="lastCol">
      <w:tblPr/>
      <w:tcPr>
        <w:tcBorders>
          <w:top w:val="nil"/>
          <w:left w:val="single" w:sz="8" w:space="0" w:color="84C98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F1E3" w:themeFill="accent4" w:themeFillTint="3F"/>
      </w:tcPr>
    </w:tblStylePr>
    <w:tblStylePr w:type="band1Horz">
      <w:tblPr/>
      <w:tcPr>
        <w:tcBorders>
          <w:top w:val="nil"/>
          <w:bottom w:val="nil"/>
          <w:insideH w:val="nil"/>
          <w:insideV w:val="nil"/>
        </w:tcBorders>
        <w:shd w:val="clear" w:color="auto" w:fill="E0F1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831F70"/>
    <w:rPr>
      <w:rFonts w:eastAsiaTheme="majorEastAsia" w:cstheme="majorBidi"/>
      <w:color w:val="000000" w:themeColor="text1"/>
      <w:lang w:val="en-GB" w:eastAsia="en-GB"/>
    </w:rPr>
    <w:tblPr>
      <w:tblStyleRowBandSize w:val="1"/>
      <w:tblStyleColBandSize w:val="1"/>
      <w:tblBorders>
        <w:top w:val="single" w:sz="8" w:space="0" w:color="F1AC1E" w:themeColor="accent5"/>
        <w:left w:val="single" w:sz="8" w:space="0" w:color="F1AC1E" w:themeColor="accent5"/>
        <w:bottom w:val="single" w:sz="8" w:space="0" w:color="F1AC1E" w:themeColor="accent5"/>
        <w:right w:val="single" w:sz="8" w:space="0" w:color="F1AC1E"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1AC1E" w:themeColor="accent5"/>
          <w:right w:val="nil"/>
          <w:insideH w:val="nil"/>
          <w:insideV w:val="nil"/>
        </w:tcBorders>
        <w:shd w:val="clear" w:color="auto" w:fill="FFFFFF" w:themeFill="background1"/>
      </w:tcPr>
    </w:tblStylePr>
    <w:tblStylePr w:type="lastRow">
      <w:tblPr/>
      <w:tcPr>
        <w:tcBorders>
          <w:top w:val="single" w:sz="8" w:space="0" w:color="F1AC1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AC1E" w:themeColor="accent5"/>
          <w:insideH w:val="nil"/>
          <w:insideV w:val="nil"/>
        </w:tcBorders>
        <w:shd w:val="clear" w:color="auto" w:fill="FFFFFF" w:themeFill="background1"/>
      </w:tcPr>
    </w:tblStylePr>
    <w:tblStylePr w:type="lastCol">
      <w:tblPr/>
      <w:tcPr>
        <w:tcBorders>
          <w:top w:val="nil"/>
          <w:left w:val="single" w:sz="8" w:space="0" w:color="F1AC1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AC7" w:themeFill="accent5" w:themeFillTint="3F"/>
      </w:tcPr>
    </w:tblStylePr>
    <w:tblStylePr w:type="band1Horz">
      <w:tblPr/>
      <w:tcPr>
        <w:tcBorders>
          <w:top w:val="nil"/>
          <w:bottom w:val="nil"/>
          <w:insideH w:val="nil"/>
          <w:insideV w:val="nil"/>
        </w:tcBorders>
        <w:shd w:val="clear" w:color="auto" w:fill="FBEAC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831F70"/>
    <w:rPr>
      <w:rFonts w:eastAsiaTheme="majorEastAsia" w:cstheme="majorBidi"/>
      <w:color w:val="000000" w:themeColor="text1"/>
      <w:lang w:val="en-GB" w:eastAsia="en-GB"/>
    </w:rPr>
    <w:tblPr>
      <w:tblStyleRowBandSize w:val="1"/>
      <w:tblStyleColBandSize w:val="1"/>
      <w:tblBorders>
        <w:top w:val="single" w:sz="8" w:space="0" w:color="1D1A46" w:themeColor="accent6"/>
        <w:left w:val="single" w:sz="8" w:space="0" w:color="1D1A46" w:themeColor="accent6"/>
        <w:bottom w:val="single" w:sz="8" w:space="0" w:color="1D1A46" w:themeColor="accent6"/>
        <w:right w:val="single" w:sz="8" w:space="0" w:color="1D1A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1D1A46" w:themeColor="accent6"/>
          <w:right w:val="nil"/>
          <w:insideH w:val="nil"/>
          <w:insideV w:val="nil"/>
        </w:tcBorders>
        <w:shd w:val="clear" w:color="auto" w:fill="FFFFFF" w:themeFill="background1"/>
      </w:tcPr>
    </w:tblStylePr>
    <w:tblStylePr w:type="lastRow">
      <w:tblPr/>
      <w:tcPr>
        <w:tcBorders>
          <w:top w:val="single" w:sz="8" w:space="0" w:color="1D1A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1A46" w:themeColor="accent6"/>
          <w:insideH w:val="nil"/>
          <w:insideV w:val="nil"/>
        </w:tcBorders>
        <w:shd w:val="clear" w:color="auto" w:fill="FFFFFF" w:themeFill="background1"/>
      </w:tcPr>
    </w:tblStylePr>
    <w:tblStylePr w:type="lastCol">
      <w:tblPr/>
      <w:tcPr>
        <w:tcBorders>
          <w:top w:val="nil"/>
          <w:left w:val="single" w:sz="8" w:space="0" w:color="1D1A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B4E3" w:themeFill="accent6" w:themeFillTint="3F"/>
      </w:tcPr>
    </w:tblStylePr>
    <w:tblStylePr w:type="band1Horz">
      <w:tblPr/>
      <w:tcPr>
        <w:tcBorders>
          <w:top w:val="nil"/>
          <w:bottom w:val="nil"/>
          <w:insideH w:val="nil"/>
          <w:insideV w:val="nil"/>
        </w:tcBorders>
        <w:shd w:val="clear" w:color="auto" w:fill="B7B4E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831F70"/>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31F70"/>
    <w:rPr>
      <w:rFonts w:eastAsia="MS Mincho"/>
      <w:lang w:val="en-GB" w:eastAsia="en-GB"/>
    </w:rPr>
    <w:tblPr>
      <w:tblStyleRowBandSize w:val="1"/>
      <w:tblStyleColBandSize w:val="1"/>
      <w:tblBorders>
        <w:top w:val="single" w:sz="8" w:space="0" w:color="5A6F81" w:themeColor="accent1" w:themeTint="BF"/>
        <w:left w:val="single" w:sz="8" w:space="0" w:color="5A6F81" w:themeColor="accent1" w:themeTint="BF"/>
        <w:bottom w:val="single" w:sz="8" w:space="0" w:color="5A6F81" w:themeColor="accent1" w:themeTint="BF"/>
        <w:right w:val="single" w:sz="8" w:space="0" w:color="5A6F81" w:themeColor="accent1" w:themeTint="BF"/>
        <w:insideH w:val="single" w:sz="8" w:space="0" w:color="5A6F81"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5A6F81" w:themeColor="accent1" w:themeTint="BF"/>
          <w:left w:val="single" w:sz="8" w:space="0" w:color="5A6F81" w:themeColor="accent1" w:themeTint="BF"/>
          <w:bottom w:val="single" w:sz="8" w:space="0" w:color="5A6F81" w:themeColor="accent1" w:themeTint="BF"/>
          <w:right w:val="single" w:sz="8" w:space="0" w:color="5A6F81" w:themeColor="accent1" w:themeTint="BF"/>
          <w:insideH w:val="nil"/>
          <w:insideV w:val="nil"/>
        </w:tcBorders>
        <w:shd w:val="clear" w:color="auto" w:fill="323E48" w:themeFill="accent1"/>
      </w:tcPr>
    </w:tblStylePr>
    <w:tblStylePr w:type="lastRow">
      <w:pPr>
        <w:spacing w:before="0" w:after="0" w:line="240" w:lineRule="auto"/>
      </w:pPr>
      <w:rPr>
        <w:b/>
        <w:bCs/>
      </w:rPr>
      <w:tblPr/>
      <w:tcPr>
        <w:tcBorders>
          <w:top w:val="double" w:sz="6" w:space="0" w:color="5A6F81" w:themeColor="accent1" w:themeTint="BF"/>
          <w:left w:val="single" w:sz="8" w:space="0" w:color="5A6F81" w:themeColor="accent1" w:themeTint="BF"/>
          <w:bottom w:val="single" w:sz="8" w:space="0" w:color="5A6F81" w:themeColor="accent1" w:themeTint="BF"/>
          <w:right w:val="single" w:sz="8" w:space="0" w:color="5A6F81" w:themeColor="accent1" w:themeTint="BF"/>
          <w:insideH w:val="nil"/>
          <w:insideV w:val="nil"/>
        </w:tcBorders>
      </w:tcPr>
    </w:tblStylePr>
    <w:tblStylePr w:type="firstCol">
      <w:rPr>
        <w:b/>
        <w:bCs/>
      </w:rPr>
    </w:tblStylePr>
    <w:tblStylePr w:type="lastCol">
      <w:rPr>
        <w:b/>
        <w:bCs/>
      </w:rPr>
    </w:tblStylePr>
    <w:tblStylePr w:type="band1Vert">
      <w:tblPr/>
      <w:tcPr>
        <w:shd w:val="clear" w:color="auto" w:fill="C6CFD7" w:themeFill="accent1" w:themeFillTint="3F"/>
      </w:tcPr>
    </w:tblStylePr>
    <w:tblStylePr w:type="band1Horz">
      <w:tblPr/>
      <w:tcPr>
        <w:tcBorders>
          <w:insideH w:val="nil"/>
          <w:insideV w:val="nil"/>
        </w:tcBorders>
        <w:shd w:val="clear" w:color="auto" w:fill="C6CFD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31F70"/>
    <w:rPr>
      <w:rFonts w:eastAsia="MS Mincho"/>
      <w:lang w:val="en-GB" w:eastAsia="en-GB"/>
    </w:rPr>
    <w:tblPr>
      <w:tblStyleRowBandSize w:val="1"/>
      <w:tblStyleColBandSize w:val="1"/>
      <w:tblBorders>
        <w:top w:val="single" w:sz="8" w:space="0" w:color="58CBD3" w:themeColor="accent2" w:themeTint="BF"/>
        <w:left w:val="single" w:sz="8" w:space="0" w:color="58CBD3" w:themeColor="accent2" w:themeTint="BF"/>
        <w:bottom w:val="single" w:sz="8" w:space="0" w:color="58CBD3" w:themeColor="accent2" w:themeTint="BF"/>
        <w:right w:val="single" w:sz="8" w:space="0" w:color="58CBD3" w:themeColor="accent2" w:themeTint="BF"/>
        <w:insideH w:val="single" w:sz="8" w:space="0" w:color="58CBD3"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58CBD3" w:themeColor="accent2" w:themeTint="BF"/>
          <w:left w:val="single" w:sz="8" w:space="0" w:color="58CBD3" w:themeColor="accent2" w:themeTint="BF"/>
          <w:bottom w:val="single" w:sz="8" w:space="0" w:color="58CBD3" w:themeColor="accent2" w:themeTint="BF"/>
          <w:right w:val="single" w:sz="8" w:space="0" w:color="58CBD3" w:themeColor="accent2" w:themeTint="BF"/>
          <w:insideH w:val="nil"/>
          <w:insideV w:val="nil"/>
        </w:tcBorders>
        <w:shd w:val="clear" w:color="auto" w:fill="30AEB6" w:themeFill="accent2"/>
      </w:tcPr>
    </w:tblStylePr>
    <w:tblStylePr w:type="lastRow">
      <w:pPr>
        <w:spacing w:before="0" w:after="0" w:line="240" w:lineRule="auto"/>
      </w:pPr>
      <w:rPr>
        <w:b/>
        <w:bCs/>
      </w:rPr>
      <w:tblPr/>
      <w:tcPr>
        <w:tcBorders>
          <w:top w:val="double" w:sz="6" w:space="0" w:color="58CBD3" w:themeColor="accent2" w:themeTint="BF"/>
          <w:left w:val="single" w:sz="8" w:space="0" w:color="58CBD3" w:themeColor="accent2" w:themeTint="BF"/>
          <w:bottom w:val="single" w:sz="8" w:space="0" w:color="58CBD3" w:themeColor="accent2" w:themeTint="BF"/>
          <w:right w:val="single" w:sz="8" w:space="0" w:color="58CBD3" w:themeColor="accent2" w:themeTint="BF"/>
          <w:insideH w:val="nil"/>
          <w:insideV w:val="nil"/>
        </w:tcBorders>
      </w:tcPr>
    </w:tblStylePr>
    <w:tblStylePr w:type="firstCol">
      <w:rPr>
        <w:b/>
        <w:bCs/>
      </w:rPr>
    </w:tblStylePr>
    <w:tblStylePr w:type="lastCol">
      <w:rPr>
        <w:b/>
        <w:bCs/>
      </w:rPr>
    </w:tblStylePr>
    <w:tblStylePr w:type="band1Vert">
      <w:tblPr/>
      <w:tcPr>
        <w:shd w:val="clear" w:color="auto" w:fill="C8EEF0" w:themeFill="accent2" w:themeFillTint="3F"/>
      </w:tcPr>
    </w:tblStylePr>
    <w:tblStylePr w:type="band1Horz">
      <w:tblPr/>
      <w:tcPr>
        <w:tcBorders>
          <w:insideH w:val="nil"/>
          <w:insideV w:val="nil"/>
        </w:tcBorders>
        <w:shd w:val="clear" w:color="auto" w:fill="C8EEF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31F70"/>
    <w:rPr>
      <w:rFonts w:eastAsia="MS Mincho"/>
      <w:lang w:val="en-GB" w:eastAsia="en-GB"/>
    </w:rPr>
    <w:tblPr>
      <w:tblStyleRowBandSize w:val="1"/>
      <w:tblStyleColBandSize w:val="1"/>
      <w:tblBorders>
        <w:top w:val="single" w:sz="8" w:space="0" w:color="E6715C" w:themeColor="accent3" w:themeTint="BF"/>
        <w:left w:val="single" w:sz="8" w:space="0" w:color="E6715C" w:themeColor="accent3" w:themeTint="BF"/>
        <w:bottom w:val="single" w:sz="8" w:space="0" w:color="E6715C" w:themeColor="accent3" w:themeTint="BF"/>
        <w:right w:val="single" w:sz="8" w:space="0" w:color="E6715C" w:themeColor="accent3" w:themeTint="BF"/>
        <w:insideH w:val="single" w:sz="8" w:space="0" w:color="E6715C"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6715C" w:themeColor="accent3" w:themeTint="BF"/>
          <w:left w:val="single" w:sz="8" w:space="0" w:color="E6715C" w:themeColor="accent3" w:themeTint="BF"/>
          <w:bottom w:val="single" w:sz="8" w:space="0" w:color="E6715C" w:themeColor="accent3" w:themeTint="BF"/>
          <w:right w:val="single" w:sz="8" w:space="0" w:color="E6715C" w:themeColor="accent3" w:themeTint="BF"/>
          <w:insideH w:val="nil"/>
          <w:insideV w:val="nil"/>
        </w:tcBorders>
        <w:shd w:val="clear" w:color="auto" w:fill="DE4326" w:themeFill="accent3"/>
      </w:tcPr>
    </w:tblStylePr>
    <w:tblStylePr w:type="lastRow">
      <w:pPr>
        <w:spacing w:before="0" w:after="0" w:line="240" w:lineRule="auto"/>
      </w:pPr>
      <w:rPr>
        <w:b/>
        <w:bCs/>
      </w:rPr>
      <w:tblPr/>
      <w:tcPr>
        <w:tcBorders>
          <w:top w:val="double" w:sz="6" w:space="0" w:color="E6715C" w:themeColor="accent3" w:themeTint="BF"/>
          <w:left w:val="single" w:sz="8" w:space="0" w:color="E6715C" w:themeColor="accent3" w:themeTint="BF"/>
          <w:bottom w:val="single" w:sz="8" w:space="0" w:color="E6715C" w:themeColor="accent3" w:themeTint="BF"/>
          <w:right w:val="single" w:sz="8" w:space="0" w:color="E6715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D0C9" w:themeFill="accent3" w:themeFillTint="3F"/>
      </w:tcPr>
    </w:tblStylePr>
    <w:tblStylePr w:type="band1Horz">
      <w:tblPr/>
      <w:tcPr>
        <w:tcBorders>
          <w:insideH w:val="nil"/>
          <w:insideV w:val="nil"/>
        </w:tcBorders>
        <w:shd w:val="clear" w:color="auto" w:fill="F6D0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31F70"/>
    <w:rPr>
      <w:rFonts w:eastAsia="MS Mincho"/>
      <w:lang w:val="en-GB" w:eastAsia="en-GB"/>
    </w:rPr>
    <w:tblPr>
      <w:tblStyleRowBandSize w:val="1"/>
      <w:tblStyleColBandSize w:val="1"/>
      <w:tblBorders>
        <w:top w:val="single" w:sz="8" w:space="0" w:color="A2D6AA" w:themeColor="accent4" w:themeTint="BF"/>
        <w:left w:val="single" w:sz="8" w:space="0" w:color="A2D6AA" w:themeColor="accent4" w:themeTint="BF"/>
        <w:bottom w:val="single" w:sz="8" w:space="0" w:color="A2D6AA" w:themeColor="accent4" w:themeTint="BF"/>
        <w:right w:val="single" w:sz="8" w:space="0" w:color="A2D6AA" w:themeColor="accent4" w:themeTint="BF"/>
        <w:insideH w:val="single" w:sz="8" w:space="0" w:color="A2D6AA"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A2D6AA" w:themeColor="accent4" w:themeTint="BF"/>
          <w:left w:val="single" w:sz="8" w:space="0" w:color="A2D6AA" w:themeColor="accent4" w:themeTint="BF"/>
          <w:bottom w:val="single" w:sz="8" w:space="0" w:color="A2D6AA" w:themeColor="accent4" w:themeTint="BF"/>
          <w:right w:val="single" w:sz="8" w:space="0" w:color="A2D6AA" w:themeColor="accent4" w:themeTint="BF"/>
          <w:insideH w:val="nil"/>
          <w:insideV w:val="nil"/>
        </w:tcBorders>
        <w:shd w:val="clear" w:color="auto" w:fill="84C98F" w:themeFill="accent4"/>
      </w:tcPr>
    </w:tblStylePr>
    <w:tblStylePr w:type="lastRow">
      <w:pPr>
        <w:spacing w:before="0" w:after="0" w:line="240" w:lineRule="auto"/>
      </w:pPr>
      <w:rPr>
        <w:b/>
        <w:bCs/>
      </w:rPr>
      <w:tblPr/>
      <w:tcPr>
        <w:tcBorders>
          <w:top w:val="double" w:sz="6" w:space="0" w:color="A2D6AA" w:themeColor="accent4" w:themeTint="BF"/>
          <w:left w:val="single" w:sz="8" w:space="0" w:color="A2D6AA" w:themeColor="accent4" w:themeTint="BF"/>
          <w:bottom w:val="single" w:sz="8" w:space="0" w:color="A2D6AA" w:themeColor="accent4" w:themeTint="BF"/>
          <w:right w:val="single" w:sz="8" w:space="0" w:color="A2D6AA" w:themeColor="accent4" w:themeTint="BF"/>
          <w:insideH w:val="nil"/>
          <w:insideV w:val="nil"/>
        </w:tcBorders>
      </w:tcPr>
    </w:tblStylePr>
    <w:tblStylePr w:type="firstCol">
      <w:rPr>
        <w:b/>
        <w:bCs/>
      </w:rPr>
    </w:tblStylePr>
    <w:tblStylePr w:type="lastCol">
      <w:rPr>
        <w:b/>
        <w:bCs/>
      </w:rPr>
    </w:tblStylePr>
    <w:tblStylePr w:type="band1Vert">
      <w:tblPr/>
      <w:tcPr>
        <w:shd w:val="clear" w:color="auto" w:fill="E0F1E3" w:themeFill="accent4" w:themeFillTint="3F"/>
      </w:tcPr>
    </w:tblStylePr>
    <w:tblStylePr w:type="band1Horz">
      <w:tblPr/>
      <w:tcPr>
        <w:tcBorders>
          <w:insideH w:val="nil"/>
          <w:insideV w:val="nil"/>
        </w:tcBorders>
        <w:shd w:val="clear" w:color="auto" w:fill="E0F1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31F70"/>
    <w:rPr>
      <w:rFonts w:eastAsia="MS Mincho"/>
      <w:lang w:val="en-GB" w:eastAsia="en-GB"/>
    </w:rPr>
    <w:tblPr>
      <w:tblStyleRowBandSize w:val="1"/>
      <w:tblStyleColBandSize w:val="1"/>
      <w:tblBorders>
        <w:top w:val="single" w:sz="8" w:space="0" w:color="F4C056" w:themeColor="accent5" w:themeTint="BF"/>
        <w:left w:val="single" w:sz="8" w:space="0" w:color="F4C056" w:themeColor="accent5" w:themeTint="BF"/>
        <w:bottom w:val="single" w:sz="8" w:space="0" w:color="F4C056" w:themeColor="accent5" w:themeTint="BF"/>
        <w:right w:val="single" w:sz="8" w:space="0" w:color="F4C056" w:themeColor="accent5" w:themeTint="BF"/>
        <w:insideH w:val="single" w:sz="8" w:space="0" w:color="F4C056"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4C056" w:themeColor="accent5" w:themeTint="BF"/>
          <w:left w:val="single" w:sz="8" w:space="0" w:color="F4C056" w:themeColor="accent5" w:themeTint="BF"/>
          <w:bottom w:val="single" w:sz="8" w:space="0" w:color="F4C056" w:themeColor="accent5" w:themeTint="BF"/>
          <w:right w:val="single" w:sz="8" w:space="0" w:color="F4C056" w:themeColor="accent5" w:themeTint="BF"/>
          <w:insideH w:val="nil"/>
          <w:insideV w:val="nil"/>
        </w:tcBorders>
        <w:shd w:val="clear" w:color="auto" w:fill="F1AC1E" w:themeFill="accent5"/>
      </w:tcPr>
    </w:tblStylePr>
    <w:tblStylePr w:type="lastRow">
      <w:pPr>
        <w:spacing w:before="0" w:after="0" w:line="240" w:lineRule="auto"/>
      </w:pPr>
      <w:rPr>
        <w:b/>
        <w:bCs/>
      </w:rPr>
      <w:tblPr/>
      <w:tcPr>
        <w:tcBorders>
          <w:top w:val="double" w:sz="6" w:space="0" w:color="F4C056" w:themeColor="accent5" w:themeTint="BF"/>
          <w:left w:val="single" w:sz="8" w:space="0" w:color="F4C056" w:themeColor="accent5" w:themeTint="BF"/>
          <w:bottom w:val="single" w:sz="8" w:space="0" w:color="F4C056" w:themeColor="accent5" w:themeTint="BF"/>
          <w:right w:val="single" w:sz="8" w:space="0" w:color="F4C05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AC7" w:themeFill="accent5" w:themeFillTint="3F"/>
      </w:tcPr>
    </w:tblStylePr>
    <w:tblStylePr w:type="band1Horz">
      <w:tblPr/>
      <w:tcPr>
        <w:tcBorders>
          <w:insideH w:val="nil"/>
          <w:insideV w:val="nil"/>
        </w:tcBorders>
        <w:shd w:val="clear" w:color="auto" w:fill="FBEAC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31F70"/>
    <w:rPr>
      <w:rFonts w:eastAsia="MS Mincho"/>
      <w:lang w:val="en-GB" w:eastAsia="en-GB"/>
    </w:rPr>
    <w:tblPr>
      <w:tblStyleRowBandSize w:val="1"/>
      <w:tblStyleColBandSize w:val="1"/>
      <w:tblBorders>
        <w:top w:val="single" w:sz="8" w:space="0" w:color="3C3691" w:themeColor="accent6" w:themeTint="BF"/>
        <w:left w:val="single" w:sz="8" w:space="0" w:color="3C3691" w:themeColor="accent6" w:themeTint="BF"/>
        <w:bottom w:val="single" w:sz="8" w:space="0" w:color="3C3691" w:themeColor="accent6" w:themeTint="BF"/>
        <w:right w:val="single" w:sz="8" w:space="0" w:color="3C3691" w:themeColor="accent6" w:themeTint="BF"/>
        <w:insideH w:val="single" w:sz="8" w:space="0" w:color="3C3691"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3C3691" w:themeColor="accent6" w:themeTint="BF"/>
          <w:left w:val="single" w:sz="8" w:space="0" w:color="3C3691" w:themeColor="accent6" w:themeTint="BF"/>
          <w:bottom w:val="single" w:sz="8" w:space="0" w:color="3C3691" w:themeColor="accent6" w:themeTint="BF"/>
          <w:right w:val="single" w:sz="8" w:space="0" w:color="3C3691" w:themeColor="accent6" w:themeTint="BF"/>
          <w:insideH w:val="nil"/>
          <w:insideV w:val="nil"/>
        </w:tcBorders>
        <w:shd w:val="clear" w:color="auto" w:fill="1D1A46" w:themeFill="accent6"/>
      </w:tcPr>
    </w:tblStylePr>
    <w:tblStylePr w:type="lastRow">
      <w:pPr>
        <w:spacing w:before="0" w:after="0" w:line="240" w:lineRule="auto"/>
      </w:pPr>
      <w:rPr>
        <w:b/>
        <w:bCs/>
      </w:rPr>
      <w:tblPr/>
      <w:tcPr>
        <w:tcBorders>
          <w:top w:val="double" w:sz="6" w:space="0" w:color="3C3691" w:themeColor="accent6" w:themeTint="BF"/>
          <w:left w:val="single" w:sz="8" w:space="0" w:color="3C3691" w:themeColor="accent6" w:themeTint="BF"/>
          <w:bottom w:val="single" w:sz="8" w:space="0" w:color="3C3691" w:themeColor="accent6" w:themeTint="BF"/>
          <w:right w:val="single" w:sz="8" w:space="0" w:color="3C3691" w:themeColor="accent6" w:themeTint="BF"/>
          <w:insideH w:val="nil"/>
          <w:insideV w:val="nil"/>
        </w:tcBorders>
      </w:tcPr>
    </w:tblStylePr>
    <w:tblStylePr w:type="firstCol">
      <w:rPr>
        <w:b/>
        <w:bCs/>
      </w:rPr>
    </w:tblStylePr>
    <w:tblStylePr w:type="lastCol">
      <w:rPr>
        <w:b/>
        <w:bCs/>
      </w:rPr>
    </w:tblStylePr>
    <w:tblStylePr w:type="band1Vert">
      <w:tblPr/>
      <w:tcPr>
        <w:shd w:val="clear" w:color="auto" w:fill="B7B4E3" w:themeFill="accent6" w:themeFillTint="3F"/>
      </w:tcPr>
    </w:tblStylePr>
    <w:tblStylePr w:type="band1Horz">
      <w:tblPr/>
      <w:tcPr>
        <w:tcBorders>
          <w:insideH w:val="nil"/>
          <w:insideV w:val="nil"/>
        </w:tcBorders>
        <w:shd w:val="clear" w:color="auto" w:fill="B7B4E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31F70"/>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31F70"/>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23E4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E48" w:themeFill="accent1"/>
      </w:tcPr>
    </w:tblStylePr>
    <w:tblStylePr w:type="lastCol">
      <w:rPr>
        <w:b/>
        <w:bCs/>
        <w:color w:val="FFFFFF" w:themeColor="background1"/>
      </w:rPr>
      <w:tblPr/>
      <w:tcPr>
        <w:tcBorders>
          <w:left w:val="nil"/>
          <w:right w:val="nil"/>
          <w:insideH w:val="nil"/>
          <w:insideV w:val="nil"/>
        </w:tcBorders>
        <w:shd w:val="clear" w:color="auto" w:fill="323E4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31F70"/>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0AEB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AEB6" w:themeFill="accent2"/>
      </w:tcPr>
    </w:tblStylePr>
    <w:tblStylePr w:type="lastCol">
      <w:rPr>
        <w:b/>
        <w:bCs/>
        <w:color w:val="FFFFFF" w:themeColor="background1"/>
      </w:rPr>
      <w:tblPr/>
      <w:tcPr>
        <w:tcBorders>
          <w:left w:val="nil"/>
          <w:right w:val="nil"/>
          <w:insideH w:val="nil"/>
          <w:insideV w:val="nil"/>
        </w:tcBorders>
        <w:shd w:val="clear" w:color="auto" w:fill="30AEB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31F70"/>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E432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E4326" w:themeFill="accent3"/>
      </w:tcPr>
    </w:tblStylePr>
    <w:tblStylePr w:type="lastCol">
      <w:rPr>
        <w:b/>
        <w:bCs/>
        <w:color w:val="FFFFFF" w:themeColor="background1"/>
      </w:rPr>
      <w:tblPr/>
      <w:tcPr>
        <w:tcBorders>
          <w:left w:val="nil"/>
          <w:right w:val="nil"/>
          <w:insideH w:val="nil"/>
          <w:insideV w:val="nil"/>
        </w:tcBorders>
        <w:shd w:val="clear" w:color="auto" w:fill="DE432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31F70"/>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4C98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4C98F" w:themeFill="accent4"/>
      </w:tcPr>
    </w:tblStylePr>
    <w:tblStylePr w:type="lastCol">
      <w:rPr>
        <w:b/>
        <w:bCs/>
        <w:color w:val="FFFFFF" w:themeColor="background1"/>
      </w:rPr>
      <w:tblPr/>
      <w:tcPr>
        <w:tcBorders>
          <w:left w:val="nil"/>
          <w:right w:val="nil"/>
          <w:insideH w:val="nil"/>
          <w:insideV w:val="nil"/>
        </w:tcBorders>
        <w:shd w:val="clear" w:color="auto" w:fill="84C98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31F70"/>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1AC1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AC1E" w:themeFill="accent5"/>
      </w:tcPr>
    </w:tblStylePr>
    <w:tblStylePr w:type="lastCol">
      <w:rPr>
        <w:b/>
        <w:bCs/>
        <w:color w:val="FFFFFF" w:themeColor="background1"/>
      </w:rPr>
      <w:tblPr/>
      <w:tcPr>
        <w:tcBorders>
          <w:left w:val="nil"/>
          <w:right w:val="nil"/>
          <w:insideH w:val="nil"/>
          <w:insideV w:val="nil"/>
        </w:tcBorders>
        <w:shd w:val="clear" w:color="auto" w:fill="F1AC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31F70"/>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1D1A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D1A46" w:themeFill="accent6"/>
      </w:tcPr>
    </w:tblStylePr>
    <w:tblStylePr w:type="lastCol">
      <w:rPr>
        <w:b/>
        <w:bCs/>
        <w:color w:val="FFFFFF" w:themeColor="background1"/>
      </w:rPr>
      <w:tblPr/>
      <w:tcPr>
        <w:tcBorders>
          <w:left w:val="nil"/>
          <w:right w:val="nil"/>
          <w:insideH w:val="nil"/>
          <w:insideV w:val="nil"/>
        </w:tcBorders>
        <w:shd w:val="clear" w:color="auto" w:fill="1D1A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0D66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0D662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0D6626"/>
    <w:rPr>
      <w:rFonts w:ascii="Times New Roman" w:hAnsi="Times New Roman"/>
      <w:sz w:val="24"/>
    </w:rPr>
  </w:style>
  <w:style w:type="paragraph" w:styleId="NoteHeading">
    <w:name w:val="Note Heading"/>
    <w:basedOn w:val="Normal"/>
    <w:next w:val="Normal"/>
    <w:link w:val="NoteHeadingChar"/>
    <w:uiPriority w:val="99"/>
    <w:semiHidden/>
    <w:unhideWhenUsed/>
    <w:rsid w:val="000D6626"/>
  </w:style>
  <w:style w:type="character" w:customStyle="1" w:styleId="NoteHeadingChar">
    <w:name w:val="Note Heading Char"/>
    <w:basedOn w:val="DefaultParagraphFont"/>
    <w:link w:val="NoteHeading"/>
    <w:uiPriority w:val="99"/>
    <w:semiHidden/>
    <w:rsid w:val="000D6626"/>
    <w:rPr>
      <w:rFonts w:asciiTheme="minorHAnsi" w:hAnsiTheme="minorHAnsi"/>
      <w:sz w:val="22"/>
      <w:szCs w:val="24"/>
    </w:rPr>
  </w:style>
  <w:style w:type="character" w:styleId="PlaceholderText">
    <w:name w:val="Placeholder Text"/>
    <w:basedOn w:val="DefaultParagraphFont"/>
    <w:uiPriority w:val="99"/>
    <w:semiHidden/>
    <w:rsid w:val="000D6626"/>
    <w:rPr>
      <w:color w:val="808080"/>
    </w:rPr>
  </w:style>
  <w:style w:type="paragraph" w:styleId="PlainText">
    <w:name w:val="Plain Text"/>
    <w:basedOn w:val="Normal"/>
    <w:link w:val="PlainTextChar"/>
    <w:uiPriority w:val="99"/>
    <w:semiHidden/>
    <w:unhideWhenUsed/>
    <w:rsid w:val="000D6626"/>
    <w:rPr>
      <w:rFonts w:ascii="Consolas" w:hAnsi="Consolas" w:cs="Consolas"/>
      <w:sz w:val="21"/>
      <w:szCs w:val="21"/>
    </w:rPr>
  </w:style>
  <w:style w:type="character" w:customStyle="1" w:styleId="PlainTextChar">
    <w:name w:val="Plain Text Char"/>
    <w:basedOn w:val="DefaultParagraphFont"/>
    <w:link w:val="PlainText"/>
    <w:uiPriority w:val="99"/>
    <w:semiHidden/>
    <w:rsid w:val="000D6626"/>
    <w:rPr>
      <w:rFonts w:ascii="Consolas" w:hAnsi="Consolas" w:cs="Consolas"/>
      <w:sz w:val="21"/>
      <w:szCs w:val="21"/>
    </w:rPr>
  </w:style>
  <w:style w:type="paragraph" w:styleId="Salutation">
    <w:name w:val="Salutation"/>
    <w:basedOn w:val="Normal"/>
    <w:next w:val="Normal"/>
    <w:link w:val="SalutationChar"/>
    <w:uiPriority w:val="99"/>
    <w:semiHidden/>
    <w:unhideWhenUsed/>
    <w:rsid w:val="000D6626"/>
  </w:style>
  <w:style w:type="character" w:customStyle="1" w:styleId="SalutationChar">
    <w:name w:val="Salutation Char"/>
    <w:basedOn w:val="DefaultParagraphFont"/>
    <w:link w:val="Salutation"/>
    <w:uiPriority w:val="99"/>
    <w:semiHidden/>
    <w:rsid w:val="000D6626"/>
    <w:rPr>
      <w:rFonts w:asciiTheme="minorHAnsi" w:hAnsiTheme="minorHAnsi"/>
      <w:sz w:val="22"/>
      <w:szCs w:val="24"/>
    </w:rPr>
  </w:style>
  <w:style w:type="paragraph" w:styleId="Signature">
    <w:name w:val="Signature"/>
    <w:basedOn w:val="Normal"/>
    <w:link w:val="SignatureChar"/>
    <w:uiPriority w:val="99"/>
    <w:semiHidden/>
    <w:unhideWhenUsed/>
    <w:rsid w:val="000D6626"/>
    <w:pPr>
      <w:ind w:left="4252"/>
    </w:pPr>
  </w:style>
  <w:style w:type="character" w:customStyle="1" w:styleId="SignatureChar">
    <w:name w:val="Signature Char"/>
    <w:basedOn w:val="DefaultParagraphFont"/>
    <w:link w:val="Signature"/>
    <w:uiPriority w:val="99"/>
    <w:semiHidden/>
    <w:rsid w:val="000D6626"/>
    <w:rPr>
      <w:rFonts w:asciiTheme="minorHAnsi" w:hAnsiTheme="minorHAnsi"/>
      <w:sz w:val="22"/>
      <w:szCs w:val="24"/>
    </w:rPr>
  </w:style>
  <w:style w:type="character" w:styleId="Strong">
    <w:name w:val="Strong"/>
    <w:basedOn w:val="DefaultParagraphFont"/>
    <w:uiPriority w:val="22"/>
    <w:qFormat/>
    <w:rsid w:val="000D6626"/>
    <w:rPr>
      <w:b/>
      <w:bCs/>
    </w:rPr>
  </w:style>
  <w:style w:type="paragraph" w:styleId="Subtitle">
    <w:name w:val="Subtitle"/>
    <w:basedOn w:val="Normal"/>
    <w:next w:val="Normal"/>
    <w:link w:val="SubtitleChar"/>
    <w:uiPriority w:val="11"/>
    <w:semiHidden/>
    <w:qFormat/>
    <w:rsid w:val="000D6626"/>
    <w:pPr>
      <w:numPr>
        <w:ilvl w:val="1"/>
      </w:numPr>
    </w:pPr>
    <w:rPr>
      <w:rFonts w:asciiTheme="majorHAnsi" w:eastAsiaTheme="majorEastAsia" w:hAnsiTheme="majorHAnsi" w:cstheme="majorBidi"/>
      <w:i/>
      <w:iCs/>
      <w:color w:val="323E48" w:themeColor="accent1"/>
      <w:spacing w:val="15"/>
      <w:sz w:val="24"/>
    </w:rPr>
  </w:style>
  <w:style w:type="character" w:customStyle="1" w:styleId="SubtitleChar">
    <w:name w:val="Subtitle Char"/>
    <w:basedOn w:val="DefaultParagraphFont"/>
    <w:link w:val="Subtitle"/>
    <w:uiPriority w:val="11"/>
    <w:semiHidden/>
    <w:rsid w:val="000D6626"/>
    <w:rPr>
      <w:rFonts w:asciiTheme="majorHAnsi" w:eastAsiaTheme="majorEastAsia" w:hAnsiTheme="majorHAnsi" w:cstheme="majorBidi"/>
      <w:i/>
      <w:iCs/>
      <w:color w:val="323E48" w:themeColor="accent1"/>
      <w:spacing w:val="15"/>
      <w:sz w:val="24"/>
      <w:szCs w:val="24"/>
    </w:rPr>
  </w:style>
  <w:style w:type="character" w:styleId="SubtleEmphasis">
    <w:name w:val="Subtle Emphasis"/>
    <w:basedOn w:val="DefaultParagraphFont"/>
    <w:uiPriority w:val="19"/>
    <w:semiHidden/>
    <w:qFormat/>
    <w:rsid w:val="000D6626"/>
    <w:rPr>
      <w:i/>
      <w:iCs/>
      <w:color w:val="808080" w:themeColor="text1" w:themeTint="7F"/>
    </w:rPr>
  </w:style>
  <w:style w:type="character" w:styleId="SubtleReference">
    <w:name w:val="Subtle Reference"/>
    <w:basedOn w:val="DefaultParagraphFont"/>
    <w:uiPriority w:val="31"/>
    <w:semiHidden/>
    <w:qFormat/>
    <w:rsid w:val="000D6626"/>
    <w:rPr>
      <w:smallCaps/>
      <w:color w:val="30AEB6" w:themeColor="accent2"/>
      <w:u w:val="single"/>
    </w:rPr>
  </w:style>
  <w:style w:type="table" w:styleId="Table3Deffects1">
    <w:name w:val="Table 3D effects 1"/>
    <w:basedOn w:val="TableNormal"/>
    <w:uiPriority w:val="99"/>
    <w:semiHidden/>
    <w:unhideWhenUsed/>
    <w:rsid w:val="00831F70"/>
    <w:pPr>
      <w:adjustRightInd w:val="0"/>
      <w:snapToGrid w:val="0"/>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31F70"/>
    <w:pPr>
      <w:adjustRightInd w:val="0"/>
      <w:snapToGrid w:val="0"/>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31F70"/>
    <w:pPr>
      <w:adjustRightInd w:val="0"/>
      <w:snapToGrid w:val="0"/>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31F70"/>
    <w:pPr>
      <w:adjustRightInd w:val="0"/>
      <w:snapToGrid w:val="0"/>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31F70"/>
    <w:pPr>
      <w:adjustRightInd w:val="0"/>
      <w:snapToGrid w:val="0"/>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31F70"/>
    <w:pPr>
      <w:adjustRightInd w:val="0"/>
      <w:snapToGrid w:val="0"/>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31F70"/>
    <w:pPr>
      <w:adjustRightInd w:val="0"/>
      <w:snapToGrid w:val="0"/>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31F70"/>
    <w:pPr>
      <w:adjustRightInd w:val="0"/>
      <w:snapToGrid w:val="0"/>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31F70"/>
    <w:pPr>
      <w:adjustRightInd w:val="0"/>
      <w:snapToGrid w:val="0"/>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31F70"/>
    <w:pPr>
      <w:adjustRightInd w:val="0"/>
      <w:snapToGrid w:val="0"/>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31F70"/>
    <w:pPr>
      <w:adjustRightInd w:val="0"/>
      <w:snapToGrid w:val="0"/>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31F70"/>
    <w:pPr>
      <w:adjustRightInd w:val="0"/>
      <w:snapToGrid w:val="0"/>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31F70"/>
    <w:pPr>
      <w:adjustRightInd w:val="0"/>
      <w:snapToGrid w:val="0"/>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31F70"/>
    <w:pPr>
      <w:adjustRightInd w:val="0"/>
      <w:snapToGrid w:val="0"/>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31F70"/>
    <w:pPr>
      <w:adjustRightInd w:val="0"/>
      <w:snapToGrid w:val="0"/>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31F70"/>
    <w:pPr>
      <w:adjustRightInd w:val="0"/>
      <w:snapToGrid w:val="0"/>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31F70"/>
    <w:pPr>
      <w:adjustRightInd w:val="0"/>
      <w:snapToGrid w:val="0"/>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31F70"/>
    <w:pPr>
      <w:adjustRightInd w:val="0"/>
      <w:snapToGrid w:val="0"/>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31F70"/>
    <w:pPr>
      <w:adjustRightInd w:val="0"/>
      <w:snapToGrid w:val="0"/>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31F70"/>
    <w:pPr>
      <w:adjustRightInd w:val="0"/>
      <w:snapToGrid w:val="0"/>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31F70"/>
    <w:pPr>
      <w:adjustRightInd w:val="0"/>
      <w:snapToGrid w:val="0"/>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31F70"/>
    <w:pPr>
      <w:adjustRightInd w:val="0"/>
      <w:snapToGrid w:val="0"/>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31F70"/>
    <w:pPr>
      <w:adjustRightInd w:val="0"/>
      <w:snapToGrid w:val="0"/>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31F70"/>
    <w:pPr>
      <w:adjustRightInd w:val="0"/>
      <w:snapToGrid w:val="0"/>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31F70"/>
    <w:pPr>
      <w:adjustRightInd w:val="0"/>
      <w:snapToGrid w:val="0"/>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31F70"/>
    <w:pPr>
      <w:adjustRightInd w:val="0"/>
      <w:snapToGrid w:val="0"/>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31F70"/>
    <w:pPr>
      <w:adjustRightInd w:val="0"/>
      <w:snapToGrid w:val="0"/>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31F70"/>
    <w:pPr>
      <w:adjustRightInd w:val="0"/>
      <w:snapToGrid w:val="0"/>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31F70"/>
    <w:pPr>
      <w:adjustRightInd w:val="0"/>
      <w:snapToGrid w:val="0"/>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31F70"/>
    <w:pPr>
      <w:adjustRightInd w:val="0"/>
      <w:snapToGrid w:val="0"/>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31F70"/>
    <w:pPr>
      <w:adjustRightInd w:val="0"/>
      <w:snapToGrid w:val="0"/>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31F70"/>
    <w:pPr>
      <w:adjustRightInd w:val="0"/>
      <w:snapToGrid w:val="0"/>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31F70"/>
    <w:pPr>
      <w:adjustRightInd w:val="0"/>
      <w:snapToGrid w:val="0"/>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D6626"/>
    <w:pPr>
      <w:ind w:left="220" w:hanging="220"/>
    </w:pPr>
  </w:style>
  <w:style w:type="paragraph" w:styleId="TableofFigures">
    <w:name w:val="table of figures"/>
    <w:basedOn w:val="TOC1"/>
    <w:next w:val="BodyText"/>
    <w:uiPriority w:val="99"/>
    <w:semiHidden/>
    <w:unhideWhenUsed/>
    <w:rsid w:val="000D6626"/>
    <w:pPr>
      <w:spacing w:after="0"/>
    </w:pPr>
    <w:rPr>
      <w:rFonts w:eastAsia="MS Mincho"/>
    </w:rPr>
  </w:style>
  <w:style w:type="table" w:styleId="TableProfessional">
    <w:name w:val="Table Professional"/>
    <w:basedOn w:val="TableNormal"/>
    <w:uiPriority w:val="99"/>
    <w:semiHidden/>
    <w:unhideWhenUsed/>
    <w:rsid w:val="00831F70"/>
    <w:pPr>
      <w:adjustRightInd w:val="0"/>
      <w:snapToGrid w:val="0"/>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31F70"/>
    <w:pPr>
      <w:adjustRightInd w:val="0"/>
      <w:snapToGrid w:val="0"/>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31F70"/>
    <w:pPr>
      <w:adjustRightInd w:val="0"/>
      <w:snapToGrid w:val="0"/>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31F70"/>
    <w:pPr>
      <w:adjustRightInd w:val="0"/>
      <w:snapToGrid w:val="0"/>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31F70"/>
    <w:pPr>
      <w:adjustRightInd w:val="0"/>
      <w:snapToGrid w:val="0"/>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31F70"/>
    <w:pPr>
      <w:adjustRightInd w:val="0"/>
      <w:snapToGrid w:val="0"/>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31F70"/>
    <w:pPr>
      <w:adjustRightInd w:val="0"/>
      <w:snapToGrid w:val="0"/>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831F70"/>
    <w:pPr>
      <w:adjustRightInd w:val="0"/>
      <w:snapToGrid w:val="0"/>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31F70"/>
    <w:pPr>
      <w:adjustRightInd w:val="0"/>
      <w:snapToGrid w:val="0"/>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31F70"/>
    <w:pPr>
      <w:adjustRightInd w:val="0"/>
      <w:snapToGrid w:val="0"/>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0D6626"/>
    <w:pPr>
      <w:spacing w:before="120"/>
    </w:pPr>
    <w:rPr>
      <w:rFonts w:asciiTheme="majorHAnsi" w:eastAsiaTheme="majorEastAsia" w:hAnsiTheme="majorHAnsi" w:cstheme="majorBidi"/>
      <w:b/>
      <w:bCs/>
      <w:sz w:val="24"/>
    </w:rPr>
  </w:style>
  <w:style w:type="paragraph" w:styleId="TOC3">
    <w:name w:val="toc 3"/>
    <w:basedOn w:val="Normal"/>
    <w:next w:val="Normal"/>
    <w:uiPriority w:val="39"/>
    <w:rsid w:val="003148D9"/>
    <w:pPr>
      <w:spacing w:before="57" w:after="0"/>
      <w:ind w:left="442"/>
    </w:pPr>
  </w:style>
  <w:style w:type="paragraph" w:styleId="TOC4">
    <w:name w:val="toc 4"/>
    <w:basedOn w:val="Normal"/>
    <w:next w:val="Normal"/>
    <w:autoRedefine/>
    <w:uiPriority w:val="39"/>
    <w:semiHidden/>
    <w:rsid w:val="000D6626"/>
    <w:pPr>
      <w:spacing w:after="100"/>
      <w:ind w:left="660"/>
    </w:pPr>
  </w:style>
  <w:style w:type="paragraph" w:styleId="TOC5">
    <w:name w:val="toc 5"/>
    <w:basedOn w:val="Normal"/>
    <w:next w:val="Normal"/>
    <w:autoRedefine/>
    <w:uiPriority w:val="39"/>
    <w:semiHidden/>
    <w:rsid w:val="000D6626"/>
    <w:pPr>
      <w:spacing w:after="100"/>
      <w:ind w:left="880"/>
    </w:pPr>
  </w:style>
  <w:style w:type="paragraph" w:styleId="TOC6">
    <w:name w:val="toc 6"/>
    <w:basedOn w:val="Normal"/>
    <w:next w:val="Normal"/>
    <w:autoRedefine/>
    <w:uiPriority w:val="39"/>
    <w:semiHidden/>
    <w:rsid w:val="000D6626"/>
    <w:pPr>
      <w:spacing w:after="100"/>
      <w:ind w:left="1100"/>
    </w:pPr>
  </w:style>
  <w:style w:type="paragraph" w:styleId="TOC7">
    <w:name w:val="toc 7"/>
    <w:basedOn w:val="Normal"/>
    <w:next w:val="Normal"/>
    <w:autoRedefine/>
    <w:uiPriority w:val="39"/>
    <w:semiHidden/>
    <w:rsid w:val="000D6626"/>
    <w:pPr>
      <w:spacing w:after="100"/>
      <w:ind w:left="1320"/>
    </w:pPr>
  </w:style>
  <w:style w:type="paragraph" w:styleId="TOC8">
    <w:name w:val="toc 8"/>
    <w:basedOn w:val="Normal"/>
    <w:next w:val="Normal"/>
    <w:autoRedefine/>
    <w:uiPriority w:val="39"/>
    <w:semiHidden/>
    <w:unhideWhenUsed/>
    <w:rsid w:val="000D6626"/>
    <w:pPr>
      <w:spacing w:after="100"/>
      <w:ind w:left="1540"/>
    </w:pPr>
  </w:style>
  <w:style w:type="paragraph" w:styleId="TOC9">
    <w:name w:val="toc 9"/>
    <w:basedOn w:val="Normal"/>
    <w:next w:val="Normal"/>
    <w:autoRedefine/>
    <w:uiPriority w:val="39"/>
    <w:semiHidden/>
    <w:unhideWhenUsed/>
    <w:rsid w:val="000D6626"/>
    <w:pPr>
      <w:spacing w:after="100"/>
      <w:ind w:left="1760"/>
    </w:pPr>
  </w:style>
  <w:style w:type="paragraph" w:styleId="TOCHeading">
    <w:name w:val="TOC Heading"/>
    <w:basedOn w:val="Normal"/>
    <w:next w:val="Normal"/>
    <w:uiPriority w:val="39"/>
    <w:qFormat/>
    <w:rsid w:val="00B46BAB"/>
    <w:pPr>
      <w:spacing w:after="1200" w:line="840" w:lineRule="atLeast"/>
    </w:pPr>
    <w:rPr>
      <w:rFonts w:asciiTheme="majorHAnsi" w:hAnsiTheme="majorHAnsi"/>
      <w:b/>
      <w:sz w:val="64"/>
    </w:rPr>
  </w:style>
  <w:style w:type="paragraph" w:customStyle="1" w:styleId="Note">
    <w:name w:val="Note"/>
    <w:basedOn w:val="Normal"/>
    <w:semiHidden/>
    <w:qFormat/>
    <w:rsid w:val="00831F70"/>
    <w:rPr>
      <w:caps/>
      <w:spacing w:val="5"/>
    </w:rPr>
  </w:style>
  <w:style w:type="paragraph" w:customStyle="1" w:styleId="Fields">
    <w:name w:val="Fields"/>
    <w:basedOn w:val="Normal"/>
    <w:semiHidden/>
    <w:qFormat/>
    <w:rsid w:val="00831F70"/>
    <w:rPr>
      <w:caps/>
      <w:sz w:val="24"/>
    </w:rPr>
  </w:style>
  <w:style w:type="table" w:styleId="TableGridLight">
    <w:name w:val="Grid Table Light"/>
    <w:basedOn w:val="TableNormal"/>
    <w:uiPriority w:val="40"/>
    <w:rsid w:val="0016520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ridText">
    <w:name w:val="Grid Text"/>
    <w:basedOn w:val="Normal"/>
    <w:semiHidden/>
    <w:qFormat/>
    <w:rsid w:val="00831F70"/>
    <w:rPr>
      <w:color w:val="FFFFFF" w:themeColor="background2"/>
    </w:rPr>
  </w:style>
  <w:style w:type="paragraph" w:styleId="TOC2">
    <w:name w:val="toc 2"/>
    <w:basedOn w:val="Normal"/>
    <w:next w:val="Normal"/>
    <w:uiPriority w:val="39"/>
    <w:rsid w:val="00B46BAB"/>
    <w:pPr>
      <w:tabs>
        <w:tab w:val="right" w:pos="10206"/>
      </w:tabs>
      <w:ind w:left="227"/>
    </w:pPr>
  </w:style>
  <w:style w:type="character" w:customStyle="1" w:styleId="OrangeText">
    <w:name w:val="Orange Text"/>
    <w:basedOn w:val="DefaultParagraphFont"/>
    <w:uiPriority w:val="1"/>
    <w:semiHidden/>
    <w:qFormat/>
    <w:rsid w:val="00831F70"/>
    <w:rPr>
      <w:color w:val="84C98F" w:themeColor="accent4"/>
    </w:rPr>
  </w:style>
  <w:style w:type="character" w:customStyle="1" w:styleId="Heading4Char">
    <w:name w:val="Heading 4 Char"/>
    <w:basedOn w:val="DefaultParagraphFont"/>
    <w:link w:val="Heading4"/>
    <w:uiPriority w:val="1"/>
    <w:rsid w:val="00674100"/>
    <w:rPr>
      <w:rFonts w:eastAsiaTheme="majorEastAsia" w:cstheme="majorBidi"/>
      <w:b/>
      <w:bCs/>
      <w:sz w:val="24"/>
      <w:szCs w:val="28"/>
    </w:rPr>
  </w:style>
  <w:style w:type="character" w:customStyle="1" w:styleId="Heading5Char">
    <w:name w:val="Heading 5 Char"/>
    <w:link w:val="Heading5"/>
    <w:semiHidden/>
    <w:rsid w:val="002D03E7"/>
    <w:rPr>
      <w:rFonts w:eastAsiaTheme="majorEastAsia" w:cstheme="majorBidi"/>
      <w:b/>
      <w:bCs/>
      <w:color w:val="FFFFFF" w:themeColor="background2"/>
      <w:sz w:val="44"/>
      <w:lang w:eastAsia="x-none" w:bidi="he-IL"/>
    </w:rPr>
  </w:style>
  <w:style w:type="character" w:customStyle="1" w:styleId="Heading6Char">
    <w:name w:val="Heading 6 Char"/>
    <w:basedOn w:val="DefaultParagraphFont"/>
    <w:link w:val="Heading6"/>
    <w:semiHidden/>
    <w:rsid w:val="0073631E"/>
    <w:rPr>
      <w:rFonts w:ascii="Arial" w:eastAsiaTheme="majorEastAsia" w:hAnsi="Arial" w:cs="Arial"/>
      <w:color w:val="000080"/>
      <w:sz w:val="52"/>
      <w:szCs w:val="22"/>
      <w:lang w:val="en-US"/>
    </w:rPr>
  </w:style>
  <w:style w:type="character" w:customStyle="1" w:styleId="Heading7Char">
    <w:name w:val="Heading 7 Char"/>
    <w:basedOn w:val="DefaultParagraphFont"/>
    <w:link w:val="Heading7"/>
    <w:semiHidden/>
    <w:rsid w:val="0073631E"/>
    <w:rPr>
      <w:rFonts w:ascii="Arial" w:eastAsiaTheme="majorEastAsia" w:hAnsi="Arial" w:cs="Arial"/>
      <w:b/>
      <w:bCs/>
      <w:szCs w:val="22"/>
    </w:rPr>
  </w:style>
  <w:style w:type="character" w:customStyle="1" w:styleId="Heading8Char">
    <w:name w:val="Heading 8 Char"/>
    <w:basedOn w:val="DefaultParagraphFont"/>
    <w:link w:val="Heading8"/>
    <w:uiPriority w:val="9"/>
    <w:semiHidden/>
    <w:rsid w:val="000D662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D6626"/>
    <w:rPr>
      <w:rFonts w:asciiTheme="majorHAnsi" w:eastAsiaTheme="majorEastAsia" w:hAnsiTheme="majorHAnsi" w:cstheme="majorBidi"/>
      <w:i/>
      <w:iCs/>
      <w:color w:val="404040" w:themeColor="text1" w:themeTint="BF"/>
    </w:rPr>
  </w:style>
  <w:style w:type="paragraph" w:styleId="NormalIndent">
    <w:name w:val="Normal Indent"/>
    <w:basedOn w:val="Normal"/>
    <w:uiPriority w:val="99"/>
    <w:semiHidden/>
    <w:unhideWhenUsed/>
    <w:rsid w:val="000D6626"/>
    <w:pPr>
      <w:ind w:left="720"/>
    </w:pPr>
  </w:style>
  <w:style w:type="paragraph" w:styleId="ListContinue">
    <w:name w:val="List Continue"/>
    <w:basedOn w:val="Normal"/>
    <w:uiPriority w:val="99"/>
    <w:semiHidden/>
    <w:unhideWhenUsed/>
    <w:rsid w:val="000D6626"/>
    <w:pPr>
      <w:ind w:left="283"/>
      <w:contextualSpacing/>
    </w:pPr>
  </w:style>
  <w:style w:type="character" w:customStyle="1" w:styleId="Heading1Char">
    <w:name w:val="Heading 1 Char"/>
    <w:basedOn w:val="DefaultParagraphFont"/>
    <w:link w:val="Heading1"/>
    <w:uiPriority w:val="1"/>
    <w:rsid w:val="00D12933"/>
    <w:rPr>
      <w:rFonts w:asciiTheme="majorHAnsi" w:eastAsiaTheme="majorEastAsia" w:hAnsiTheme="majorHAnsi"/>
      <w:b/>
      <w:bCs/>
      <w:iCs/>
      <w:kern w:val="32"/>
      <w:sz w:val="40"/>
    </w:rPr>
  </w:style>
  <w:style w:type="character" w:customStyle="1" w:styleId="Heading2Char">
    <w:name w:val="Heading 2 Char"/>
    <w:basedOn w:val="DefaultParagraphFont"/>
    <w:link w:val="Heading2"/>
    <w:uiPriority w:val="1"/>
    <w:rsid w:val="00730019"/>
    <w:rPr>
      <w:rFonts w:asciiTheme="majorHAnsi" w:eastAsiaTheme="majorEastAsia" w:hAnsiTheme="majorHAnsi"/>
      <w:kern w:val="32"/>
      <w:sz w:val="40"/>
    </w:rPr>
  </w:style>
  <w:style w:type="character" w:customStyle="1" w:styleId="Heading3Char">
    <w:name w:val="Heading 3 Char"/>
    <w:basedOn w:val="DefaultParagraphFont"/>
    <w:link w:val="Heading3"/>
    <w:uiPriority w:val="1"/>
    <w:rsid w:val="00730019"/>
    <w:rPr>
      <w:rFonts w:asciiTheme="majorHAnsi" w:eastAsiaTheme="majorEastAsia" w:hAnsiTheme="majorHAnsi" w:cstheme="majorBidi"/>
      <w:bCs/>
      <w:sz w:val="30"/>
      <w:szCs w:val="28"/>
    </w:rPr>
  </w:style>
  <w:style w:type="paragraph" w:customStyle="1" w:styleId="DividerHeading">
    <w:name w:val="Divider Heading"/>
    <w:basedOn w:val="Normal"/>
    <w:semiHidden/>
    <w:qFormat/>
    <w:rsid w:val="00831F70"/>
    <w:pPr>
      <w:numPr>
        <w:numId w:val="20"/>
      </w:numPr>
    </w:pPr>
    <w:rPr>
      <w:rFonts w:ascii="Oswald" w:hAnsi="Oswald"/>
      <w:color w:val="FFFFFF"/>
      <w:sz w:val="112"/>
    </w:rPr>
  </w:style>
  <w:style w:type="paragraph" w:customStyle="1" w:styleId="TableBullet1">
    <w:name w:val="Table Bullet 1"/>
    <w:basedOn w:val="Normal"/>
    <w:uiPriority w:val="3"/>
    <w:semiHidden/>
    <w:qFormat/>
    <w:rsid w:val="00002367"/>
    <w:pPr>
      <w:numPr>
        <w:numId w:val="5"/>
      </w:numPr>
      <w:spacing w:after="60"/>
    </w:pPr>
    <w:rPr>
      <w:rFonts w:eastAsia="MS Mincho"/>
      <w:szCs w:val="20"/>
    </w:rPr>
  </w:style>
  <w:style w:type="numbering" w:customStyle="1" w:styleId="HeadingList">
    <w:name w:val="Heading List"/>
    <w:uiPriority w:val="99"/>
    <w:rsid w:val="00831F70"/>
    <w:pPr>
      <w:numPr>
        <w:numId w:val="4"/>
      </w:numPr>
    </w:pPr>
  </w:style>
  <w:style w:type="table" w:styleId="PlainTable1">
    <w:name w:val="Plain Table 1"/>
    <w:basedOn w:val="TableNormal"/>
    <w:uiPriority w:val="41"/>
    <w:rsid w:val="00616F4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verDetails">
    <w:name w:val="Cover Details"/>
    <w:next w:val="Normal"/>
    <w:uiPriority w:val="16"/>
    <w:qFormat/>
    <w:rsid w:val="00B911F3"/>
    <w:pPr>
      <w:spacing w:line="320" w:lineRule="atLeast"/>
      <w:jc w:val="right"/>
    </w:pPr>
    <w:rPr>
      <w:rFonts w:eastAsiaTheme="minorEastAsia" w:cs="Arial"/>
      <w:color w:val="FFFFFF" w:themeColor="background2"/>
      <w:sz w:val="22"/>
      <w:szCs w:val="48"/>
    </w:rPr>
  </w:style>
  <w:style w:type="paragraph" w:customStyle="1" w:styleId="MajorHeader">
    <w:name w:val="Major Header"/>
    <w:basedOn w:val="Normal"/>
    <w:autoRedefine/>
    <w:semiHidden/>
    <w:rsid w:val="000D6626"/>
    <w:pPr>
      <w:numPr>
        <w:numId w:val="6"/>
      </w:numPr>
      <w:pBdr>
        <w:top w:val="single" w:sz="4" w:space="1" w:color="auto"/>
        <w:bottom w:val="single" w:sz="12" w:space="1" w:color="auto"/>
      </w:pBdr>
    </w:pPr>
    <w:rPr>
      <w:b/>
      <w:smallCaps/>
      <w:sz w:val="28"/>
    </w:rPr>
  </w:style>
  <w:style w:type="paragraph" w:customStyle="1" w:styleId="SectionHeader">
    <w:name w:val="Section Header"/>
    <w:basedOn w:val="Normal"/>
    <w:autoRedefine/>
    <w:semiHidden/>
    <w:rsid w:val="00AC5102"/>
    <w:pPr>
      <w:numPr>
        <w:numId w:val="9"/>
      </w:numPr>
    </w:pPr>
    <w:rPr>
      <w:b/>
      <w:i/>
      <w:u w:val="single"/>
    </w:rPr>
  </w:style>
  <w:style w:type="paragraph" w:customStyle="1" w:styleId="Style2">
    <w:name w:val="Style2"/>
    <w:basedOn w:val="Heading5"/>
    <w:autoRedefine/>
    <w:semiHidden/>
    <w:rsid w:val="000D6626"/>
    <w:pPr>
      <w:keepLines/>
      <w:tabs>
        <w:tab w:val="left" w:pos="80"/>
      </w:tabs>
      <w:outlineLvl w:val="9"/>
    </w:pPr>
    <w:rPr>
      <w:rFonts w:eastAsia="Times New Roman" w:cs="Times New Roman"/>
      <w:b w:val="0"/>
      <w:bCs w:val="0"/>
      <w:sz w:val="22"/>
      <w:szCs w:val="20"/>
      <w:lang w:val="en-GB"/>
    </w:rPr>
  </w:style>
  <w:style w:type="character" w:customStyle="1" w:styleId="st">
    <w:name w:val="st"/>
    <w:semiHidden/>
    <w:rsid w:val="000D6626"/>
  </w:style>
  <w:style w:type="paragraph" w:customStyle="1" w:styleId="HeaderStyleRef">
    <w:name w:val="Header Style Ref"/>
    <w:basedOn w:val="Header"/>
    <w:semiHidden/>
    <w:qFormat/>
    <w:rsid w:val="000D6626"/>
    <w:pPr>
      <w:tabs>
        <w:tab w:val="center" w:pos="4153"/>
        <w:tab w:val="right" w:pos="8306"/>
      </w:tabs>
    </w:pPr>
    <w:rPr>
      <w:rFonts w:eastAsia="MS Mincho" w:cstheme="minorHAnsi"/>
      <w:szCs w:val="18"/>
      <w:lang w:eastAsia="ja-JP" w:bidi="ar-SA"/>
    </w:rPr>
  </w:style>
  <w:style w:type="paragraph" w:customStyle="1" w:styleId="ListNumberBold">
    <w:name w:val="List Number Bold"/>
    <w:basedOn w:val="Normal"/>
    <w:semiHidden/>
    <w:qFormat/>
    <w:rsid w:val="00AC5102"/>
    <w:pPr>
      <w:numPr>
        <w:numId w:val="10"/>
      </w:numPr>
    </w:pPr>
    <w:rPr>
      <w:b/>
    </w:rPr>
  </w:style>
  <w:style w:type="paragraph" w:customStyle="1" w:styleId="Label">
    <w:name w:val="Label"/>
    <w:basedOn w:val="Normal"/>
    <w:semiHidden/>
    <w:qFormat/>
    <w:rsid w:val="000D6626"/>
    <w:rPr>
      <w:b/>
      <w:lang w:val="en-GB"/>
    </w:rPr>
  </w:style>
  <w:style w:type="numbering" w:customStyle="1" w:styleId="ListHeader">
    <w:name w:val="List Header"/>
    <w:uiPriority w:val="99"/>
    <w:rsid w:val="00AC5102"/>
    <w:pPr>
      <w:numPr>
        <w:numId w:val="8"/>
      </w:numPr>
    </w:pPr>
  </w:style>
  <w:style w:type="numbering" w:customStyle="1" w:styleId="IPAustraliaBullets">
    <w:name w:val="IP Australia Bullets"/>
    <w:uiPriority w:val="99"/>
    <w:rsid w:val="00C002E6"/>
    <w:pPr>
      <w:numPr>
        <w:numId w:val="15"/>
      </w:numPr>
    </w:pPr>
  </w:style>
  <w:style w:type="paragraph" w:customStyle="1" w:styleId="CoverTitle">
    <w:name w:val="Cover Title"/>
    <w:next w:val="CoverSubtitle"/>
    <w:uiPriority w:val="16"/>
    <w:semiHidden/>
    <w:qFormat/>
    <w:rsid w:val="00F15FBA"/>
    <w:pPr>
      <w:adjustRightInd w:val="0"/>
      <w:snapToGrid w:val="0"/>
      <w:spacing w:line="720" w:lineRule="atLeast"/>
    </w:pPr>
    <w:rPr>
      <w:rFonts w:ascii="Arial Black" w:eastAsiaTheme="minorEastAsia" w:hAnsi="Arial Black" w:cs="Arial"/>
      <w:color w:val="FFFFFF" w:themeColor="background2"/>
      <w:sz w:val="60"/>
      <w:szCs w:val="48"/>
    </w:rPr>
  </w:style>
  <w:style w:type="table" w:customStyle="1" w:styleId="LayoutGrid">
    <w:name w:val="LayoutGrid"/>
    <w:basedOn w:val="TableNormal"/>
    <w:uiPriority w:val="99"/>
    <w:rsid w:val="006B4436"/>
    <w:pPr>
      <w:spacing w:line="240" w:lineRule="auto"/>
    </w:pPr>
    <w:tblPr>
      <w:tblCellMar>
        <w:left w:w="0" w:type="dxa"/>
        <w:right w:w="0" w:type="dxa"/>
      </w:tblCellMar>
    </w:tblPr>
  </w:style>
  <w:style w:type="numbering" w:customStyle="1" w:styleId="IPAustraliaNumbers">
    <w:name w:val="IP Australia Numbers"/>
    <w:uiPriority w:val="99"/>
    <w:rsid w:val="00C002E6"/>
    <w:pPr>
      <w:numPr>
        <w:numId w:val="17"/>
      </w:numPr>
    </w:pPr>
  </w:style>
  <w:style w:type="table" w:customStyle="1" w:styleId="TableIPAustralia">
    <w:name w:val="Table_IP Australia"/>
    <w:basedOn w:val="TableNormal"/>
    <w:uiPriority w:val="99"/>
    <w:rsid w:val="00DE7BB5"/>
    <w:pPr>
      <w:adjustRightInd w:val="0"/>
      <w:snapToGrid w:val="0"/>
    </w:pPr>
    <w:rPr>
      <w:sz w:val="20"/>
    </w:rPr>
    <w:tblPr>
      <w:tblStyleRowBandSize w:val="1"/>
      <w:tblStyleColBandSize w:val="1"/>
      <w:tblBorders>
        <w:top w:val="single" w:sz="4" w:space="0" w:color="E5E8EC"/>
        <w:bottom w:val="single" w:sz="4" w:space="0" w:color="E5E8EC"/>
        <w:insideH w:val="single" w:sz="4" w:space="0" w:color="E5E8EC"/>
      </w:tblBorders>
      <w:tblCellMar>
        <w:top w:w="85" w:type="dxa"/>
        <w:left w:w="198" w:type="dxa"/>
        <w:bottom w:w="85" w:type="dxa"/>
        <w:right w:w="198" w:type="dxa"/>
      </w:tblCellMar>
    </w:tblPr>
    <w:tcPr>
      <w:shd w:val="clear" w:color="auto" w:fill="FFFFFF" w:themeFill="background1"/>
    </w:tcPr>
    <w:tblStylePr w:type="firstRow">
      <w:rPr>
        <w:rFonts w:asciiTheme="minorHAnsi" w:hAnsiTheme="minorHAnsi"/>
        <w:color w:val="FFFFFF" w:themeColor="background1"/>
        <w:sz w:val="22"/>
      </w:rPr>
      <w:tblPr/>
      <w:tcPr>
        <w:tcBorders>
          <w:top w:val="single" w:sz="4" w:space="0" w:color="323E48" w:themeColor="accent1"/>
          <w:left w:val="nil"/>
          <w:bottom w:val="single" w:sz="4" w:space="0" w:color="323E48" w:themeColor="accent1"/>
          <w:right w:val="nil"/>
          <w:insideH w:val="nil"/>
          <w:insideV w:val="nil"/>
          <w:tl2br w:val="nil"/>
          <w:tr2bl w:val="nil"/>
        </w:tcBorders>
        <w:shd w:val="clear" w:color="auto" w:fill="323E48" w:themeFill="accent1"/>
      </w:tcPr>
    </w:tblStylePr>
    <w:tblStylePr w:type="firstCol">
      <w:rPr>
        <w:rFonts w:asciiTheme="minorHAnsi" w:hAnsiTheme="minorHAnsi"/>
      </w:rPr>
    </w:tblStylePr>
    <w:tblStylePr w:type="band1Vert">
      <w:tblPr/>
      <w:tcPr>
        <w:shd w:val="clear" w:color="auto" w:fill="FFFFFF" w:themeFill="background1"/>
      </w:tcPr>
    </w:tblStylePr>
    <w:tblStylePr w:type="band2Vert">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numbering" w:customStyle="1" w:styleId="NumberEdge">
    <w:name w:val="Number_Edge"/>
    <w:uiPriority w:val="99"/>
    <w:rsid w:val="003B7F17"/>
    <w:pPr>
      <w:numPr>
        <w:numId w:val="12"/>
      </w:numPr>
    </w:pPr>
  </w:style>
  <w:style w:type="numbering" w:customStyle="1" w:styleId="ListEdge">
    <w:name w:val="List_Edge"/>
    <w:uiPriority w:val="99"/>
    <w:rsid w:val="000B5BB1"/>
    <w:pPr>
      <w:numPr>
        <w:numId w:val="13"/>
      </w:numPr>
    </w:pPr>
  </w:style>
  <w:style w:type="paragraph" w:styleId="ListNumber">
    <w:name w:val="List Number"/>
    <w:basedOn w:val="Normal"/>
    <w:uiPriority w:val="2"/>
    <w:rsid w:val="00C002E6"/>
    <w:pPr>
      <w:numPr>
        <w:numId w:val="19"/>
      </w:numPr>
      <w:tabs>
        <w:tab w:val="left" w:pos="284"/>
      </w:tabs>
      <w:spacing w:after="57"/>
    </w:pPr>
  </w:style>
  <w:style w:type="paragraph" w:styleId="ListNumber2">
    <w:name w:val="List Number 2"/>
    <w:basedOn w:val="Normal"/>
    <w:uiPriority w:val="2"/>
    <w:rsid w:val="00C002E6"/>
    <w:pPr>
      <w:numPr>
        <w:ilvl w:val="1"/>
        <w:numId w:val="19"/>
      </w:numPr>
      <w:spacing w:after="57"/>
    </w:pPr>
  </w:style>
  <w:style w:type="numbering" w:customStyle="1" w:styleId="NumberLiberty">
    <w:name w:val="Number_Liberty"/>
    <w:uiPriority w:val="99"/>
    <w:rsid w:val="00A67F43"/>
    <w:pPr>
      <w:numPr>
        <w:numId w:val="14"/>
      </w:numPr>
    </w:pPr>
  </w:style>
  <w:style w:type="paragraph" w:customStyle="1" w:styleId="CoverSubtitle">
    <w:name w:val="Cover Subtitle"/>
    <w:basedOn w:val="Normal"/>
    <w:uiPriority w:val="16"/>
    <w:semiHidden/>
    <w:qFormat/>
    <w:rsid w:val="001F6514"/>
    <w:pPr>
      <w:spacing w:after="0" w:line="600" w:lineRule="atLeast"/>
    </w:pPr>
    <w:rPr>
      <w:sz w:val="44"/>
    </w:rPr>
  </w:style>
  <w:style w:type="character" w:customStyle="1" w:styleId="UnresolvedMention1">
    <w:name w:val="Unresolved Mention1"/>
    <w:basedOn w:val="DefaultParagraphFont"/>
    <w:uiPriority w:val="99"/>
    <w:semiHidden/>
    <w:unhideWhenUsed/>
    <w:rsid w:val="00D867C2"/>
    <w:rPr>
      <w:color w:val="605E5C"/>
      <w:shd w:val="clear" w:color="auto" w:fill="E1DFDD"/>
    </w:rPr>
  </w:style>
  <w:style w:type="paragraph" w:customStyle="1" w:styleId="LastPageDetails">
    <w:name w:val="Last Page Details"/>
    <w:basedOn w:val="Normal"/>
    <w:uiPriority w:val="1"/>
    <w:semiHidden/>
    <w:qFormat/>
    <w:rsid w:val="00A60E4D"/>
    <w:pPr>
      <w:spacing w:line="280" w:lineRule="atLeast"/>
    </w:pPr>
  </w:style>
  <w:style w:type="paragraph" w:customStyle="1" w:styleId="Pull-outTitle">
    <w:name w:val="Pull-out Title"/>
    <w:basedOn w:val="Normal"/>
    <w:semiHidden/>
    <w:qFormat/>
    <w:rsid w:val="009C5969"/>
    <w:pPr>
      <w:spacing w:after="0" w:line="300" w:lineRule="atLeast"/>
    </w:pPr>
    <w:rPr>
      <w:rFonts w:asciiTheme="majorHAnsi" w:hAnsiTheme="majorHAnsi"/>
      <w:b/>
      <w:sz w:val="18"/>
    </w:rPr>
  </w:style>
  <w:style w:type="paragraph" w:customStyle="1" w:styleId="Pull-outText">
    <w:name w:val="Pull-out Text"/>
    <w:basedOn w:val="Pull-outTitle"/>
    <w:semiHidden/>
    <w:qFormat/>
    <w:rsid w:val="009C5969"/>
    <w:rPr>
      <w:rFonts w:asciiTheme="minorHAnsi" w:hAnsiTheme="minorHAnsi"/>
      <w:b w:val="0"/>
    </w:rPr>
  </w:style>
  <w:style w:type="paragraph" w:customStyle="1" w:styleId="LastPageHeading">
    <w:name w:val="Last Page Heading"/>
    <w:basedOn w:val="LastPageDetails"/>
    <w:next w:val="Normal"/>
    <w:uiPriority w:val="1"/>
    <w:semiHidden/>
    <w:qFormat/>
    <w:rsid w:val="00477B1F"/>
    <w:pPr>
      <w:spacing w:after="0" w:line="460" w:lineRule="atLeast"/>
    </w:pPr>
    <w:rPr>
      <w:b/>
      <w:sz w:val="40"/>
    </w:rPr>
  </w:style>
  <w:style w:type="paragraph" w:customStyle="1" w:styleId="NoParagraphStyle">
    <w:name w:val="[No Paragraph Style]"/>
    <w:semiHidden/>
    <w:rsid w:val="00B31AFC"/>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customStyle="1" w:styleId="Style1">
    <w:name w:val="Style1"/>
    <w:basedOn w:val="Normal"/>
    <w:next w:val="Normal"/>
    <w:semiHidden/>
    <w:qFormat/>
    <w:rsid w:val="008F11BB"/>
  </w:style>
  <w:style w:type="paragraph" w:styleId="Quote">
    <w:name w:val="Quote"/>
    <w:basedOn w:val="Normal"/>
    <w:next w:val="Normal"/>
    <w:link w:val="QuoteChar"/>
    <w:uiPriority w:val="29"/>
    <w:semiHidden/>
    <w:qFormat/>
    <w:rsid w:val="002C2A6C"/>
    <w:pPr>
      <w:spacing w:after="284" w:line="340" w:lineRule="atLeast"/>
      <w:ind w:left="862" w:right="862"/>
      <w:jc w:val="center"/>
    </w:pPr>
    <w:rPr>
      <w:i/>
      <w:iCs/>
      <w:color w:val="404040" w:themeColor="text1" w:themeTint="BF"/>
    </w:rPr>
  </w:style>
  <w:style w:type="character" w:customStyle="1" w:styleId="QuoteChar">
    <w:name w:val="Quote Char"/>
    <w:basedOn w:val="DefaultParagraphFont"/>
    <w:link w:val="Quote"/>
    <w:uiPriority w:val="29"/>
    <w:semiHidden/>
    <w:rsid w:val="00674100"/>
    <w:rPr>
      <w:i/>
      <w:iCs/>
      <w:color w:val="404040" w:themeColor="text1" w:themeTint="BF"/>
      <w:sz w:val="22"/>
    </w:rPr>
  </w:style>
  <w:style w:type="paragraph" w:customStyle="1" w:styleId="SectionHeading">
    <w:name w:val="Section Heading"/>
    <w:basedOn w:val="TOCHeading"/>
    <w:next w:val="Normal"/>
    <w:qFormat/>
    <w:rsid w:val="00883817"/>
    <w:pPr>
      <w:spacing w:after="480"/>
    </w:pPr>
  </w:style>
  <w:style w:type="paragraph" w:customStyle="1" w:styleId="FigureCaption">
    <w:name w:val="Figure Caption"/>
    <w:basedOn w:val="Normal"/>
    <w:next w:val="Normal"/>
    <w:uiPriority w:val="1"/>
    <w:semiHidden/>
    <w:qFormat/>
    <w:rsid w:val="00190E7F"/>
    <w:pPr>
      <w:adjustRightInd/>
      <w:snapToGrid/>
      <w:jc w:val="center"/>
    </w:pPr>
    <w:rPr>
      <w:i/>
      <w:color w:val="30AEB6" w:themeColor="accent2"/>
      <w:sz w:val="16"/>
      <w:u w:val="single"/>
    </w:rPr>
  </w:style>
  <w:style w:type="paragraph" w:customStyle="1" w:styleId="Author">
    <w:name w:val="Author"/>
    <w:basedOn w:val="Quote"/>
    <w:uiPriority w:val="1"/>
    <w:semiHidden/>
    <w:qFormat/>
    <w:rsid w:val="006C2A9D"/>
    <w:pPr>
      <w:shd w:val="clear" w:color="auto" w:fill="FFFFFF" w:themeFill="background2"/>
      <w:ind w:left="2835" w:right="2835"/>
    </w:pPr>
    <w:rPr>
      <w:color w:val="FFFFFF" w:themeColor="background1"/>
    </w:rPr>
  </w:style>
  <w:style w:type="paragraph" w:customStyle="1" w:styleId="SectionNumber">
    <w:name w:val="Section Number"/>
    <w:basedOn w:val="Header"/>
    <w:semiHidden/>
    <w:qFormat/>
    <w:rsid w:val="00B93B6B"/>
    <w:pPr>
      <w:jc w:val="center"/>
    </w:pPr>
    <w:rPr>
      <w:sz w:val="22"/>
    </w:rPr>
  </w:style>
  <w:style w:type="paragraph" w:customStyle="1" w:styleId="BackPageText1">
    <w:name w:val="Back Page Text 1"/>
    <w:basedOn w:val="NoSpacing"/>
    <w:semiHidden/>
    <w:qFormat/>
    <w:rsid w:val="004D7599"/>
    <w:pPr>
      <w:spacing w:line="280" w:lineRule="atLeast"/>
    </w:pPr>
    <w:rPr>
      <w:rFonts w:asciiTheme="majorHAnsi" w:hAnsiTheme="majorHAnsi"/>
      <w:color w:val="FFFFFF" w:themeColor="background1"/>
    </w:rPr>
  </w:style>
  <w:style w:type="paragraph" w:customStyle="1" w:styleId="BackPageText2">
    <w:name w:val="Back Page Text 2"/>
    <w:basedOn w:val="BackPageText1"/>
    <w:semiHidden/>
    <w:qFormat/>
    <w:rsid w:val="004D7599"/>
    <w:pPr>
      <w:spacing w:after="113"/>
    </w:pPr>
    <w:rPr>
      <w:rFonts w:ascii="Intelo-Regular" w:hAnsi="Intelo-Regular"/>
    </w:rPr>
  </w:style>
  <w:style w:type="paragraph" w:customStyle="1" w:styleId="CoverHeading">
    <w:name w:val="Cover Heading"/>
    <w:basedOn w:val="SectionHeading"/>
    <w:qFormat/>
    <w:rsid w:val="00B911F3"/>
    <w:pPr>
      <w:spacing w:after="0"/>
    </w:pPr>
    <w:rPr>
      <w:color w:val="FFFFFF" w:themeColor="background2"/>
    </w:rPr>
  </w:style>
  <w:style w:type="paragraph" w:customStyle="1" w:styleId="CoverSubheading">
    <w:name w:val="Cover Subheading"/>
    <w:basedOn w:val="CoverHeading"/>
    <w:qFormat/>
    <w:rsid w:val="0004407F"/>
    <w:pPr>
      <w:spacing w:line="600" w:lineRule="atLeast"/>
    </w:pPr>
    <w:rPr>
      <w:b w:val="0"/>
      <w:sz w:val="40"/>
    </w:rPr>
  </w:style>
  <w:style w:type="numbering" w:customStyle="1" w:styleId="TaylorAnnexure">
    <w:name w:val="Taylor Annexure"/>
    <w:uiPriority w:val="99"/>
    <w:rsid w:val="00573E97"/>
    <w:pPr>
      <w:numPr>
        <w:numId w:val="18"/>
      </w:numPr>
    </w:pPr>
  </w:style>
  <w:style w:type="paragraph" w:customStyle="1" w:styleId="TableText">
    <w:name w:val="Table Text"/>
    <w:basedOn w:val="Normal"/>
    <w:uiPriority w:val="5"/>
    <w:qFormat/>
    <w:rsid w:val="00C002E6"/>
    <w:pPr>
      <w:spacing w:after="0" w:line="280" w:lineRule="atLeast"/>
    </w:pPr>
    <w:rPr>
      <w:sz w:val="18"/>
    </w:rPr>
  </w:style>
  <w:style w:type="paragraph" w:customStyle="1" w:styleId="TableHeading">
    <w:name w:val="Table Heading"/>
    <w:basedOn w:val="Normal"/>
    <w:uiPriority w:val="5"/>
    <w:qFormat/>
    <w:rsid w:val="00C002E6"/>
    <w:pPr>
      <w:spacing w:after="0" w:line="360" w:lineRule="atLeast"/>
    </w:pPr>
    <w:rPr>
      <w:b/>
      <w:color w:val="FFFFFF" w:themeColor="background1"/>
      <w:sz w:val="24"/>
      <w:szCs w:val="20"/>
    </w:rPr>
  </w:style>
  <w:style w:type="paragraph" w:customStyle="1" w:styleId="TableColumn">
    <w:name w:val="Table Column"/>
    <w:basedOn w:val="Normal"/>
    <w:uiPriority w:val="5"/>
    <w:qFormat/>
    <w:rsid w:val="00C002E6"/>
    <w:pPr>
      <w:spacing w:after="0" w:line="280" w:lineRule="atLeast"/>
    </w:pPr>
    <w:rPr>
      <w:b/>
      <w:sz w:val="18"/>
    </w:rPr>
  </w:style>
  <w:style w:type="character" w:styleId="UnresolvedMention">
    <w:name w:val="Unresolved Mention"/>
    <w:basedOn w:val="DefaultParagraphFont"/>
    <w:uiPriority w:val="99"/>
    <w:unhideWhenUsed/>
    <w:rsid w:val="006D3C80"/>
    <w:rPr>
      <w:color w:val="605E5C"/>
      <w:shd w:val="clear" w:color="auto" w:fill="E1DFDD"/>
    </w:rPr>
  </w:style>
  <w:style w:type="paragraph" w:styleId="Revision">
    <w:name w:val="Revision"/>
    <w:hidden/>
    <w:uiPriority w:val="99"/>
    <w:semiHidden/>
    <w:rsid w:val="00D8363F"/>
    <w:pPr>
      <w:spacing w:line="240" w:lineRule="auto"/>
    </w:pPr>
    <w:rPr>
      <w:sz w:val="22"/>
    </w:rPr>
  </w:style>
  <w:style w:type="character" w:styleId="Mention">
    <w:name w:val="Mention"/>
    <w:basedOn w:val="DefaultParagraphFont"/>
    <w:uiPriority w:val="99"/>
    <w:unhideWhenUsed/>
    <w:rsid w:val="00336F45"/>
    <w:rPr>
      <w:color w:val="2B579A"/>
      <w:shd w:val="clear" w:color="auto" w:fill="E1DFDD"/>
    </w:rPr>
  </w:style>
  <w:style w:type="character" w:customStyle="1" w:styleId="normaltextrun">
    <w:name w:val="normaltextrun"/>
    <w:basedOn w:val="DefaultParagraphFont"/>
    <w:rsid w:val="002F0633"/>
  </w:style>
  <w:style w:type="paragraph" w:customStyle="1" w:styleId="TableParagraph">
    <w:name w:val="Table Paragraph"/>
    <w:basedOn w:val="Normal"/>
    <w:uiPriority w:val="1"/>
    <w:qFormat/>
    <w:rsid w:val="0067773F"/>
    <w:pPr>
      <w:widowControl w:val="0"/>
      <w:autoSpaceDE w:val="0"/>
      <w:autoSpaceDN w:val="0"/>
      <w:adjustRightInd/>
      <w:snapToGrid/>
      <w:spacing w:after="0" w:line="240" w:lineRule="auto"/>
    </w:pPr>
    <w:rPr>
      <w:rFonts w:ascii="Calibri" w:eastAsia="Calibri" w:hAnsi="Calibri" w:cs="Calibr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70844">
      <w:bodyDiv w:val="1"/>
      <w:marLeft w:val="0"/>
      <w:marRight w:val="0"/>
      <w:marTop w:val="0"/>
      <w:marBottom w:val="0"/>
      <w:divBdr>
        <w:top w:val="none" w:sz="0" w:space="0" w:color="auto"/>
        <w:left w:val="none" w:sz="0" w:space="0" w:color="auto"/>
        <w:bottom w:val="none" w:sz="0" w:space="0" w:color="auto"/>
        <w:right w:val="none" w:sz="0" w:space="0" w:color="auto"/>
      </w:divBdr>
    </w:div>
    <w:div w:id="639195323">
      <w:bodyDiv w:val="1"/>
      <w:marLeft w:val="0"/>
      <w:marRight w:val="0"/>
      <w:marTop w:val="0"/>
      <w:marBottom w:val="0"/>
      <w:divBdr>
        <w:top w:val="none" w:sz="0" w:space="0" w:color="auto"/>
        <w:left w:val="none" w:sz="0" w:space="0" w:color="auto"/>
        <w:bottom w:val="none" w:sz="0" w:space="0" w:color="auto"/>
        <w:right w:val="none" w:sz="0" w:space="0" w:color="auto"/>
      </w:divBdr>
    </w:div>
    <w:div w:id="147201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paustralia.gov.au/about-us/our-agency/privac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mailto:consultation@ipaustralia.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nsultation.ipaustralia.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consultation@ipaustralia.gov.au"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paustralia.gov.au/about-us/our-agency/privacy"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consultation.ipaustralia.gov.au/policy/upov-edvs-2021/" TargetMode="External"/><Relationship Id="rId3" Type="http://schemas.openxmlformats.org/officeDocument/2006/relationships/hyperlink" Target="https://www.pc.gov.au/inquiries-and-research/intellectual-property/" TargetMode="External"/><Relationship Id="rId7" Type="http://schemas.openxmlformats.org/officeDocument/2006/relationships/hyperlink" Target="https://ipaustralia.libguides.com/ld.php?content_id=%2050541946" TargetMode="External"/><Relationship Id="rId2" Type="http://schemas.openxmlformats.org/officeDocument/2006/relationships/hyperlink" Target="https://ipaustralia.libguides.com/ld.php?content_id=%2050541946" TargetMode="External"/><Relationship Id="rId1" Type="http://schemas.openxmlformats.org/officeDocument/2006/relationships/hyperlink" Target="https://www.anbg.gov.au/breeders/plant-breeders-rights-act-report.pdf" TargetMode="External"/><Relationship Id="rId6" Type="http://schemas.openxmlformats.org/officeDocument/2006/relationships/hyperlink" Target="https://www.ipaustralia.gov.au/tools-and-research/professional-resources/data-research-and-reports/publications-and-reports/University-of-Queensland-PBR-policy-research" TargetMode="External"/><Relationship Id="rId5" Type="http://schemas.openxmlformats.org/officeDocument/2006/relationships/hyperlink" Target="https://www.upov.int/edocs/mdocs/upov/en/upov_sem_ge_13/upov_sem_ge_13_ppt_9.pdf" TargetMode="External"/><Relationship Id="rId4" Type="http://schemas.openxmlformats.org/officeDocument/2006/relationships/hyperlink" Target="https://www.ipaustralia.gov.au/tools-and-research/professional-resources/data-research-and-reports/publications-and-reports/University-of-Queensland-PBR-policy-research"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ggwai\OneDrive%20-%20IP%20Australia\Desktop\Consultation%20Paper%20Template.dotx" TargetMode="External"/></Relationships>
</file>

<file path=word/theme/theme1.xml><?xml version="1.0" encoding="utf-8"?>
<a:theme xmlns:a="http://schemas.openxmlformats.org/drawingml/2006/main" name="Office Theme">
  <a:themeElements>
    <a:clrScheme name="IP Australia Colours">
      <a:dk1>
        <a:sysClr val="windowText" lastClr="000000"/>
      </a:dk1>
      <a:lt1>
        <a:sysClr val="window" lastClr="FFFFFF"/>
      </a:lt1>
      <a:dk2>
        <a:srgbClr val="000000"/>
      </a:dk2>
      <a:lt2>
        <a:srgbClr val="FFFFFF"/>
      </a:lt2>
      <a:accent1>
        <a:srgbClr val="323E48"/>
      </a:accent1>
      <a:accent2>
        <a:srgbClr val="30AEB6"/>
      </a:accent2>
      <a:accent3>
        <a:srgbClr val="DE4326"/>
      </a:accent3>
      <a:accent4>
        <a:srgbClr val="84C98F"/>
      </a:accent4>
      <a:accent5>
        <a:srgbClr val="F1AC1E"/>
      </a:accent5>
      <a:accent6>
        <a:srgbClr val="1D1A46"/>
      </a:accent6>
      <a:hlink>
        <a:srgbClr val="323E48"/>
      </a:hlink>
      <a:folHlink>
        <a:srgbClr val="30AEB6"/>
      </a:folHlink>
    </a:clrScheme>
    <a:fontScheme name="IP Australia Fonts">
      <a:majorFont>
        <a:latin typeface="Tahom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033169A4548842BD9CA7442D083FAC" ma:contentTypeVersion="14" ma:contentTypeDescription="Create a new document." ma:contentTypeScope="" ma:versionID="d87c9ee95026aaf957e2ef83694f39f5">
  <xsd:schema xmlns:xsd="http://www.w3.org/2001/XMLSchema" xmlns:xs="http://www.w3.org/2001/XMLSchema" xmlns:p="http://schemas.microsoft.com/office/2006/metadata/properties" xmlns:ns2="4e3d4f4a-293d-4e01-bb54-04fe43c01727" xmlns:ns3="87cc4033-1a7e-458b-9996-a1f3cdb9b8a9" targetNamespace="http://schemas.microsoft.com/office/2006/metadata/properties" ma:root="true" ma:fieldsID="6f7735b276a04dc6e7923072f262013e" ns2:_="" ns3:_="">
    <xsd:import namespace="4e3d4f4a-293d-4e01-bb54-04fe43c01727"/>
    <xsd:import namespace="87cc4033-1a7e-458b-9996-a1f3cdb9b8a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3d4f4a-293d-4e01-bb54-04fe43c0172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e7c937c-a67a-47d4-b118-0343ca771d22}" ma:internalName="TaxCatchAll" ma:showField="CatchAllData" ma:web="4e3d4f4a-293d-4e01-bb54-04fe43c017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cc4033-1a7e-458b-9996-a1f3cdb9b8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d69b-c4ee-4dab-8955-6fb8aa64936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e3d4f4a-293d-4e01-bb54-04fe43c01727">QV4JDC2ZFSY2-235189299-4644</_dlc_DocId>
    <_dlc_DocIdUrl xmlns="4e3d4f4a-293d-4e01-bb54-04fe43c01727">
      <Url>https://ipagov.sharepoint.com/sites/Policy/_layouts/15/DocIdRedir.aspx?ID=QV4JDC2ZFSY2-235189299-4644</Url>
      <Description>QV4JDC2ZFSY2-235189299-4644</Description>
    </_dlc_DocIdUrl>
    <TaxCatchAll xmlns="4e3d4f4a-293d-4e01-bb54-04fe43c01727" xsi:nil="true"/>
    <lcf76f155ced4ddcb4097134ff3c332f xmlns="87cc4033-1a7e-458b-9996-a1f3cdb9b8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BD79AE-8975-426E-946C-D0B4E237A04E}">
  <ds:schemaRefs>
    <ds:schemaRef ds:uri="http://schemas.microsoft.com/sharepoint/v3/contenttype/forms"/>
  </ds:schemaRefs>
</ds:datastoreItem>
</file>

<file path=customXml/itemProps2.xml><?xml version="1.0" encoding="utf-8"?>
<ds:datastoreItem xmlns:ds="http://schemas.openxmlformats.org/officeDocument/2006/customXml" ds:itemID="{18522F09-4128-4FF8-81F1-C34C1DAE1A16}">
  <ds:schemaRefs>
    <ds:schemaRef ds:uri="http://schemas.microsoft.com/sharepoint/events"/>
  </ds:schemaRefs>
</ds:datastoreItem>
</file>

<file path=customXml/itemProps3.xml><?xml version="1.0" encoding="utf-8"?>
<ds:datastoreItem xmlns:ds="http://schemas.openxmlformats.org/officeDocument/2006/customXml" ds:itemID="{B32D5115-F0AB-421A-BAC5-54B8F8F327B4}">
  <ds:schemaRefs>
    <ds:schemaRef ds:uri="http://schemas.openxmlformats.org/officeDocument/2006/bibliography"/>
  </ds:schemaRefs>
</ds:datastoreItem>
</file>

<file path=customXml/itemProps4.xml><?xml version="1.0" encoding="utf-8"?>
<ds:datastoreItem xmlns:ds="http://schemas.openxmlformats.org/officeDocument/2006/customXml" ds:itemID="{AC2E388C-A4C1-49A5-85D8-CB4F9F660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3d4f4a-293d-4e01-bb54-04fe43c01727"/>
    <ds:schemaRef ds:uri="87cc4033-1a7e-458b-9996-a1f3cdb9b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F8AA8C-BC0A-42DC-BF5F-8F69D624339E}">
  <ds:schemaRefs>
    <ds:schemaRef ds:uri="http://schemas.microsoft.com/office/2006/metadata/properties"/>
    <ds:schemaRef ds:uri="http://schemas.microsoft.com/office/infopath/2007/PartnerControls"/>
    <ds:schemaRef ds:uri="4e3d4f4a-293d-4e01-bb54-04fe43c01727"/>
    <ds:schemaRef ds:uri="87cc4033-1a7e-458b-9996-a1f3cdb9b8a9"/>
  </ds:schemaRefs>
</ds:datastoreItem>
</file>

<file path=docProps/app.xml><?xml version="1.0" encoding="utf-8"?>
<Properties xmlns="http://schemas.openxmlformats.org/officeDocument/2006/extended-properties" xmlns:vt="http://schemas.openxmlformats.org/officeDocument/2006/docPropsVTypes">
  <Template>Consultation Paper Template.dotx</Template>
  <TotalTime>781</TotalTime>
  <Pages>15</Pages>
  <Words>5259</Words>
  <Characters>30508</Characters>
  <Application>Microsoft Office Word</Application>
  <DocSecurity>0</DocSecurity>
  <Lines>508</Lines>
  <Paragraphs>257</Paragraphs>
  <ScaleCrop>false</ScaleCrop>
  <Company/>
  <LinksUpToDate>false</LinksUpToDate>
  <CharactersWithSpaces>35510</CharactersWithSpaces>
  <SharedDoc>false</SharedDoc>
  <HLinks>
    <vt:vector size="60" baseType="variant">
      <vt:variant>
        <vt:i4>5636136</vt:i4>
      </vt:variant>
      <vt:variant>
        <vt:i4>15</vt:i4>
      </vt:variant>
      <vt:variant>
        <vt:i4>0</vt:i4>
      </vt:variant>
      <vt:variant>
        <vt:i4>5</vt:i4>
      </vt:variant>
      <vt:variant>
        <vt:lpwstr>mailto:consultation@ipaustralia.gov.au</vt:lpwstr>
      </vt:variant>
      <vt:variant>
        <vt:lpwstr/>
      </vt:variant>
      <vt:variant>
        <vt:i4>6029338</vt:i4>
      </vt:variant>
      <vt:variant>
        <vt:i4>12</vt:i4>
      </vt:variant>
      <vt:variant>
        <vt:i4>0</vt:i4>
      </vt:variant>
      <vt:variant>
        <vt:i4>5</vt:i4>
      </vt:variant>
      <vt:variant>
        <vt:lpwstr>https://consultation.ipaustralia.gov.au/</vt:lpwstr>
      </vt:variant>
      <vt:variant>
        <vt:lpwstr/>
      </vt:variant>
      <vt:variant>
        <vt:i4>3801106</vt:i4>
      </vt:variant>
      <vt:variant>
        <vt:i4>9</vt:i4>
      </vt:variant>
      <vt:variant>
        <vt:i4>0</vt:i4>
      </vt:variant>
      <vt:variant>
        <vt:i4>5</vt:i4>
      </vt:variant>
      <vt:variant>
        <vt:lpwstr/>
      </vt:variant>
      <vt:variant>
        <vt:lpwstr>_Consolidated_consultation_questions</vt:lpwstr>
      </vt:variant>
      <vt:variant>
        <vt:i4>1376271</vt:i4>
      </vt:variant>
      <vt:variant>
        <vt:i4>6</vt:i4>
      </vt:variant>
      <vt:variant>
        <vt:i4>0</vt:i4>
      </vt:variant>
      <vt:variant>
        <vt:i4>5</vt:i4>
      </vt:variant>
      <vt:variant>
        <vt:lpwstr>https://www.ipaustralia.gov.au/tools-and-research/professional-resources/data-research-and-reports/publications-and-reports/University-of-Queensland-PBR-policy-research</vt:lpwstr>
      </vt:variant>
      <vt:variant>
        <vt:lpwstr/>
      </vt:variant>
      <vt:variant>
        <vt:i4>2228320</vt:i4>
      </vt:variant>
      <vt:variant>
        <vt:i4>3</vt:i4>
      </vt:variant>
      <vt:variant>
        <vt:i4>0</vt:i4>
      </vt:variant>
      <vt:variant>
        <vt:i4>5</vt:i4>
      </vt:variant>
      <vt:variant>
        <vt:lpwstr>https://www.ipaustralia.gov.au/about-us/our-agency/privacy</vt:lpwstr>
      </vt:variant>
      <vt:variant>
        <vt:lpwstr/>
      </vt:variant>
      <vt:variant>
        <vt:i4>2228320</vt:i4>
      </vt:variant>
      <vt:variant>
        <vt:i4>0</vt:i4>
      </vt:variant>
      <vt:variant>
        <vt:i4>0</vt:i4>
      </vt:variant>
      <vt:variant>
        <vt:i4>5</vt:i4>
      </vt:variant>
      <vt:variant>
        <vt:lpwstr>https://www.ipaustralia.gov.au/about-us/our-agency/privacy</vt:lpwstr>
      </vt:variant>
      <vt:variant>
        <vt:lpwstr/>
      </vt:variant>
      <vt:variant>
        <vt:i4>2883699</vt:i4>
      </vt:variant>
      <vt:variant>
        <vt:i4>9</vt:i4>
      </vt:variant>
      <vt:variant>
        <vt:i4>0</vt:i4>
      </vt:variant>
      <vt:variant>
        <vt:i4>5</vt:i4>
      </vt:variant>
      <vt:variant>
        <vt:lpwstr>https://consultation.ipaustralia.gov.au/policy/upov-edvs-2021/</vt:lpwstr>
      </vt:variant>
      <vt:variant>
        <vt:lpwstr/>
      </vt:variant>
      <vt:variant>
        <vt:i4>3211349</vt:i4>
      </vt:variant>
      <vt:variant>
        <vt:i4>6</vt:i4>
      </vt:variant>
      <vt:variant>
        <vt:i4>0</vt:i4>
      </vt:variant>
      <vt:variant>
        <vt:i4>5</vt:i4>
      </vt:variant>
      <vt:variant>
        <vt:lpwstr>https://ipaustralia.libguides.com/ld.php?content_id=%2050541946</vt:lpwstr>
      </vt:variant>
      <vt:variant>
        <vt:lpwstr/>
      </vt:variant>
      <vt:variant>
        <vt:i4>1376271</vt:i4>
      </vt:variant>
      <vt:variant>
        <vt:i4>3</vt:i4>
      </vt:variant>
      <vt:variant>
        <vt:i4>0</vt:i4>
      </vt:variant>
      <vt:variant>
        <vt:i4>5</vt:i4>
      </vt:variant>
      <vt:variant>
        <vt:lpwstr>https://www.ipaustralia.gov.au/tools-and-research/professional-resources/data-research-and-reports/publications-and-reports/University-of-Queensland-PBR-policy-research</vt:lpwstr>
      </vt:variant>
      <vt:variant>
        <vt:lpwstr/>
      </vt:variant>
      <vt:variant>
        <vt:i4>3932283</vt:i4>
      </vt:variant>
      <vt:variant>
        <vt:i4>0</vt:i4>
      </vt:variant>
      <vt:variant>
        <vt:i4>0</vt:i4>
      </vt:variant>
      <vt:variant>
        <vt:i4>5</vt:i4>
      </vt:variant>
      <vt:variant>
        <vt:lpwstr>https://www.upov.int/edocs/mdocs/upov/en/upov_sem_ge_13/upov_sem_ge_13_ppt_9.pdf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Ward</dc:creator>
  <cp:keywords/>
  <dc:description/>
  <cp:lastModifiedBy>Isabel Ward</cp:lastModifiedBy>
  <cp:revision>501</cp:revision>
  <cp:lastPrinted>2022-08-25T10:23:00Z</cp:lastPrinted>
  <dcterms:created xsi:type="dcterms:W3CDTF">2026-08-07T17:29:00Z</dcterms:created>
  <dcterms:modified xsi:type="dcterms:W3CDTF">2026-08-24T03:58:00Z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2863900</vt:r8>
  </property>
  <property fmtid="{D5CDD505-2E9C-101B-9397-08002B2CF9AE}" pid="3" name="ContentTypeId">
    <vt:lpwstr>0x0101005A033169A4548842BD9CA7442D083FAC</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docLang">
    <vt:lpwstr>en</vt:lpwstr>
  </property>
  <property fmtid="{D5CDD505-2E9C-101B-9397-08002B2CF9AE}" pid="9" name="ClassificationContentMarkingHeaderShapeIds">
    <vt:lpwstr>2f7860f1,1866cce5,8041d21</vt:lpwstr>
  </property>
  <property fmtid="{D5CDD505-2E9C-101B-9397-08002B2CF9AE}" pid="10" name="ClassificationContentMarkingHeaderFontProps">
    <vt:lpwstr>#ff0000,14,Aptos</vt:lpwstr>
  </property>
  <property fmtid="{D5CDD505-2E9C-101B-9397-08002B2CF9AE}" pid="11" name="ClassificationContentMarkingHeaderText">
    <vt:lpwstr>OFFICIAL</vt:lpwstr>
  </property>
  <property fmtid="{D5CDD505-2E9C-101B-9397-08002B2CF9AE}" pid="12" name="ClassificationContentMarkingFooterShapeIds">
    <vt:lpwstr>374d162,12247faf,4fb4abc3</vt:lpwstr>
  </property>
  <property fmtid="{D5CDD505-2E9C-101B-9397-08002B2CF9AE}" pid="13" name="ClassificationContentMarkingFooterFontProps">
    <vt:lpwstr>#ff0000,14,Aptos</vt:lpwstr>
  </property>
  <property fmtid="{D5CDD505-2E9C-101B-9397-08002B2CF9AE}" pid="14" name="ClassificationContentMarkingFooterText">
    <vt:lpwstr>OFFICIAL</vt:lpwstr>
  </property>
  <property fmtid="{D5CDD505-2E9C-101B-9397-08002B2CF9AE}" pid="15" name="MSIP_Label_3bcbdb72-ee6d-45c9-b77a-e80512e7ade1_Enabled">
    <vt:lpwstr>true</vt:lpwstr>
  </property>
  <property fmtid="{D5CDD505-2E9C-101B-9397-08002B2CF9AE}" pid="16" name="MSIP_Label_3bcbdb72-ee6d-45c9-b77a-e80512e7ade1_SetDate">
    <vt:lpwstr>2026-07-14T05:16:32Z</vt:lpwstr>
  </property>
  <property fmtid="{D5CDD505-2E9C-101B-9397-08002B2CF9AE}" pid="17" name="MSIP_Label_3bcbdb72-ee6d-45c9-b77a-e80512e7ade1_Method">
    <vt:lpwstr>Privileged</vt:lpwstr>
  </property>
  <property fmtid="{D5CDD505-2E9C-101B-9397-08002B2CF9AE}" pid="18" name="MSIP_Label_3bcbdb72-ee6d-45c9-b77a-e80512e7ade1_Name">
    <vt:lpwstr>OFFICIAL</vt:lpwstr>
  </property>
  <property fmtid="{D5CDD505-2E9C-101B-9397-08002B2CF9AE}" pid="19" name="MSIP_Label_3bcbdb72-ee6d-45c9-b77a-e80512e7ade1_SiteId">
    <vt:lpwstr>1eae4a1d-fcf5-4be9-81d4-b60976404837</vt:lpwstr>
  </property>
  <property fmtid="{D5CDD505-2E9C-101B-9397-08002B2CF9AE}" pid="20" name="MSIP_Label_3bcbdb72-ee6d-45c9-b77a-e80512e7ade1_ActionId">
    <vt:lpwstr>0f63babc-570d-4591-b7f4-308eb35eab95</vt:lpwstr>
  </property>
  <property fmtid="{D5CDD505-2E9C-101B-9397-08002B2CF9AE}" pid="21" name="MSIP_Label_3bcbdb72-ee6d-45c9-b77a-e80512e7ade1_ContentBits">
    <vt:lpwstr>3</vt:lpwstr>
  </property>
  <property fmtid="{D5CDD505-2E9C-101B-9397-08002B2CF9AE}" pid="22" name="MSIP_Label_3bcbdb72-ee6d-45c9-b77a-e80512e7ade1_Tag">
    <vt:lpwstr>10, 0, 1, 1</vt:lpwstr>
  </property>
  <property fmtid="{D5CDD505-2E9C-101B-9397-08002B2CF9AE}" pid="23" name="_dlc_DocIdItemGuid">
    <vt:lpwstr>fd8cc35c-aee6-4e22-94d7-930415855982</vt:lpwstr>
  </property>
</Properties>
</file>